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0" w:rsidRDefault="008E6D10"/>
    <w:p w:rsidR="003B51CF" w:rsidRPr="00A618CF" w:rsidRDefault="000F43FF">
      <w:pPr>
        <w:rPr>
          <w:b/>
          <w:sz w:val="72"/>
          <w:szCs w:val="72"/>
        </w:rPr>
      </w:pPr>
      <w:r w:rsidRPr="00A618CF">
        <w:rPr>
          <w:b/>
          <w:sz w:val="72"/>
          <w:szCs w:val="72"/>
        </w:rPr>
        <w:t>Cuota Hil</w:t>
      </w:r>
      <w:r w:rsidR="00831BD1" w:rsidRPr="00A618CF">
        <w:rPr>
          <w:b/>
          <w:sz w:val="72"/>
          <w:szCs w:val="72"/>
        </w:rPr>
        <w:t>ton:</w:t>
      </w:r>
    </w:p>
    <w:p w:rsidR="00A618CF" w:rsidRDefault="00A618CF">
      <w:pPr>
        <w:rPr>
          <w:i/>
          <w:sz w:val="36"/>
          <w:szCs w:val="36"/>
        </w:rPr>
      </w:pPr>
      <w:r w:rsidRPr="00A618CF">
        <w:rPr>
          <w:i/>
          <w:sz w:val="36"/>
          <w:szCs w:val="36"/>
        </w:rPr>
        <w:t>“Finalmente tampoco cumplimos con la Cuota Hilton del Ciclo 2012/13”</w:t>
      </w:r>
    </w:p>
    <w:p w:rsidR="00A618CF" w:rsidRPr="00A618CF" w:rsidRDefault="00A618CF">
      <w:pPr>
        <w:rPr>
          <w:i/>
          <w:sz w:val="36"/>
          <w:szCs w:val="36"/>
        </w:rPr>
      </w:pPr>
    </w:p>
    <w:p w:rsidR="000F43FF" w:rsidRDefault="000F43FF">
      <w:r>
        <w:t>El 29 de Julio pasado SENASA dio a conocer los números de las exportaciones cárnicas de argentina, donde se refleja</w:t>
      </w:r>
      <w:r w:rsidR="00925B97">
        <w:t xml:space="preserve"> que</w:t>
      </w:r>
      <w:r>
        <w:t xml:space="preserve"> –como lo veníamos </w:t>
      </w:r>
      <w:r w:rsidR="00925B97">
        <w:t>anunciando</w:t>
      </w:r>
      <w:r>
        <w:t xml:space="preserve"> desde principio de </w:t>
      </w:r>
      <w:r w:rsidR="00925B97">
        <w:t xml:space="preserve">año- </w:t>
      </w:r>
      <w:r>
        <w:t xml:space="preserve"> nuevamente no hemos cumplido con nuestro compromiso de la Cuota Hilton</w:t>
      </w:r>
      <w:r w:rsidR="00925B97">
        <w:t>.</w:t>
      </w:r>
    </w:p>
    <w:p w:rsidR="00925B97" w:rsidRDefault="00925B97">
      <w:r>
        <w:t>Considerando que los embarques de Cuota Hilton de Junio de 2013 fueron de 1.865 toneladas (Cuadro 1), el total de la Cuota correspondiente al ciclo 2012/13, fue de 22.351 toneladas, que nos arroja un incumplimiento de 7.685 toneladas de la misma.</w:t>
      </w:r>
    </w:p>
    <w:p w:rsidR="00925B97" w:rsidRDefault="00925B97">
      <w:r>
        <w:t xml:space="preserve">Si  bien hace 6 meses que SENASA no da a conocer el precio de venta de la misma, un cálculo estimativo entre los valores de la Cuota Hilton de los últimos 6 meses de 2012 y los declarados por los Frigoríficos, el promedio de la misma estaría alrededor de 15.200 dólares la toneladas, lo que nos permite calcular que la pérdida </w:t>
      </w:r>
      <w:r w:rsidR="008F13C0">
        <w:t>de ingreso al país fue de 116,81</w:t>
      </w:r>
      <w:r>
        <w:t xml:space="preserve"> millones de dólares.</w:t>
      </w:r>
    </w:p>
    <w:p w:rsidR="003B51CF" w:rsidRDefault="003B51CF"/>
    <w:p w:rsidR="003B51CF" w:rsidRDefault="00925B97">
      <w:r>
        <w:t>Cuadro 1: Embarque mensual Cuota Hilton del Ciclo 2012/13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1284"/>
        <w:gridCol w:w="538"/>
        <w:gridCol w:w="538"/>
        <w:gridCol w:w="538"/>
        <w:gridCol w:w="588"/>
        <w:gridCol w:w="698"/>
        <w:gridCol w:w="538"/>
        <w:gridCol w:w="663"/>
        <w:gridCol w:w="803"/>
        <w:gridCol w:w="841"/>
        <w:gridCol w:w="608"/>
        <w:gridCol w:w="643"/>
        <w:gridCol w:w="616"/>
      </w:tblGrid>
      <w:tr w:rsidR="003B51CF" w:rsidRPr="00E95EEC" w:rsidTr="00F85C27">
        <w:tc>
          <w:tcPr>
            <w:tcW w:w="1284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Jul-12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Ag-12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Set-12</w:t>
            </w:r>
          </w:p>
        </w:tc>
        <w:tc>
          <w:tcPr>
            <w:tcW w:w="588" w:type="dxa"/>
          </w:tcPr>
          <w:p w:rsidR="003B51CF" w:rsidRPr="00E95EEC" w:rsidRDefault="003B51CF" w:rsidP="00F85C27">
            <w:pPr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Oct-12</w:t>
            </w:r>
          </w:p>
        </w:tc>
        <w:tc>
          <w:tcPr>
            <w:tcW w:w="69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Nov-12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Dic-12</w:t>
            </w:r>
          </w:p>
        </w:tc>
        <w:tc>
          <w:tcPr>
            <w:tcW w:w="663" w:type="dxa"/>
          </w:tcPr>
          <w:p w:rsidR="00A618CF" w:rsidRDefault="003B51CF" w:rsidP="00F85C27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En-</w:t>
            </w:r>
          </w:p>
          <w:p w:rsidR="003B51CF" w:rsidRPr="00E95EEC" w:rsidRDefault="003B51CF" w:rsidP="00F85C27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03" w:type="dxa"/>
          </w:tcPr>
          <w:p w:rsidR="00A618CF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Febr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41" w:type="dxa"/>
          </w:tcPr>
          <w:p w:rsidR="00A618CF" w:rsidRDefault="003B51CF" w:rsidP="00A61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Marz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3B51CF" w:rsidRPr="00E95EEC" w:rsidRDefault="00A618CF" w:rsidP="00A61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3B51CF"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Abril-13</w:t>
            </w:r>
          </w:p>
        </w:tc>
        <w:tc>
          <w:tcPr>
            <w:tcW w:w="643" w:type="dxa"/>
          </w:tcPr>
          <w:p w:rsidR="003B51CF" w:rsidRPr="00E95EEC" w:rsidRDefault="00A618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r w:rsidR="003B51CF" w:rsidRPr="00E95EEC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616" w:type="dxa"/>
          </w:tcPr>
          <w:p w:rsidR="003B51CF" w:rsidRPr="00E95EEC" w:rsidRDefault="00A618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</w:t>
            </w:r>
            <w:r w:rsidR="003B51CF" w:rsidRPr="00E95EEC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</w:tr>
      <w:tr w:rsidR="003B51CF" w:rsidRPr="00E95EEC" w:rsidTr="00F85C27">
        <w:tc>
          <w:tcPr>
            <w:tcW w:w="1284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Embarques(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1654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588" w:type="dxa"/>
          </w:tcPr>
          <w:p w:rsidR="003B51CF" w:rsidRPr="00E95EEC" w:rsidRDefault="003B51CF" w:rsidP="00F85C27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2248</w:t>
            </w:r>
          </w:p>
        </w:tc>
        <w:tc>
          <w:tcPr>
            <w:tcW w:w="698" w:type="dxa"/>
          </w:tcPr>
          <w:p w:rsidR="003B51CF" w:rsidRPr="00E95EEC" w:rsidRDefault="003B51CF" w:rsidP="00F85C27">
            <w:pPr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2236</w:t>
            </w:r>
          </w:p>
        </w:tc>
        <w:tc>
          <w:tcPr>
            <w:tcW w:w="538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  <w:tc>
          <w:tcPr>
            <w:tcW w:w="663" w:type="dxa"/>
          </w:tcPr>
          <w:p w:rsidR="003B51CF" w:rsidRPr="00E95EEC" w:rsidRDefault="003B51CF" w:rsidP="00F85C27">
            <w:pPr>
              <w:ind w:lef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1824</w:t>
            </w:r>
          </w:p>
        </w:tc>
        <w:tc>
          <w:tcPr>
            <w:tcW w:w="803" w:type="dxa"/>
          </w:tcPr>
          <w:p w:rsidR="003B51CF" w:rsidRPr="00E95EEC" w:rsidRDefault="003B51CF" w:rsidP="00F85C27">
            <w:pPr>
              <w:ind w:left="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1855</w:t>
            </w:r>
          </w:p>
        </w:tc>
        <w:tc>
          <w:tcPr>
            <w:tcW w:w="841" w:type="dxa"/>
          </w:tcPr>
          <w:p w:rsidR="003B51CF" w:rsidRPr="00B243B8" w:rsidRDefault="003B51CF" w:rsidP="00F85C27">
            <w:pPr>
              <w:ind w:left="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3B8">
              <w:rPr>
                <w:rFonts w:ascii="Times New Roman" w:hAnsi="Times New Roman" w:cs="Times New Roman"/>
                <w:sz w:val="16"/>
                <w:szCs w:val="16"/>
              </w:rPr>
              <w:t>1.432</w:t>
            </w:r>
          </w:p>
        </w:tc>
        <w:tc>
          <w:tcPr>
            <w:tcW w:w="608" w:type="dxa"/>
          </w:tcPr>
          <w:p w:rsidR="003B51CF" w:rsidRPr="003B51CF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CF">
              <w:rPr>
                <w:rFonts w:ascii="Times New Roman" w:hAnsi="Times New Roman" w:cs="Times New Roman"/>
                <w:sz w:val="16"/>
                <w:szCs w:val="16"/>
              </w:rPr>
              <w:t>2.396</w:t>
            </w:r>
          </w:p>
        </w:tc>
        <w:tc>
          <w:tcPr>
            <w:tcW w:w="643" w:type="dxa"/>
          </w:tcPr>
          <w:p w:rsidR="003B51CF" w:rsidRPr="003B51CF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CF">
              <w:rPr>
                <w:rFonts w:ascii="Times New Roman" w:hAnsi="Times New Roman" w:cs="Times New Roman"/>
                <w:sz w:val="16"/>
                <w:szCs w:val="16"/>
              </w:rPr>
              <w:t>2.535</w:t>
            </w:r>
          </w:p>
        </w:tc>
        <w:tc>
          <w:tcPr>
            <w:tcW w:w="616" w:type="dxa"/>
          </w:tcPr>
          <w:p w:rsidR="003B51CF" w:rsidRPr="003B51CF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CF">
              <w:rPr>
                <w:rFonts w:ascii="Times New Roman" w:hAnsi="Times New Roman" w:cs="Times New Roman"/>
                <w:sz w:val="16"/>
                <w:szCs w:val="16"/>
              </w:rPr>
              <w:t>1.865</w:t>
            </w:r>
          </w:p>
        </w:tc>
      </w:tr>
      <w:tr w:rsidR="003B51CF" w:rsidRPr="00E95EEC" w:rsidTr="00F85C27">
        <w:tc>
          <w:tcPr>
            <w:tcW w:w="1284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Total(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12" w:type="dxa"/>
            <w:gridSpan w:val="12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2.351</w:t>
            </w:r>
          </w:p>
        </w:tc>
      </w:tr>
      <w:tr w:rsidR="003B51CF" w:rsidRPr="00E95EEC" w:rsidTr="00F85C27">
        <w:tc>
          <w:tcPr>
            <w:tcW w:w="1284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C.Hilton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12" w:type="dxa"/>
            <w:gridSpan w:val="12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</w:tr>
      <w:tr w:rsidR="003B51CF" w:rsidRPr="00E95EEC" w:rsidTr="00F85C27">
        <w:tc>
          <w:tcPr>
            <w:tcW w:w="1284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Incumplimiento</w:t>
            </w:r>
          </w:p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Ciclo 12/13 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12" w:type="dxa"/>
            <w:gridSpan w:val="12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7.685</w:t>
            </w:r>
          </w:p>
        </w:tc>
      </w:tr>
      <w:tr w:rsidR="003B51CF" w:rsidRPr="00E95EEC" w:rsidTr="00F85C27">
        <w:tc>
          <w:tcPr>
            <w:tcW w:w="1284" w:type="dxa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Promedio (U$S/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12" w:type="dxa"/>
            <w:gridSpan w:val="12"/>
          </w:tcPr>
          <w:p w:rsidR="003B51CF" w:rsidRPr="00E95EEC" w:rsidRDefault="003B51CF" w:rsidP="00F85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15.20</w:t>
            </w:r>
            <w:r w:rsidR="008F13C0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B51CF" w:rsidRPr="00E95EEC" w:rsidTr="00F85C27">
        <w:tc>
          <w:tcPr>
            <w:tcW w:w="1284" w:type="dxa"/>
          </w:tcPr>
          <w:p w:rsidR="003B51CF" w:rsidRPr="000F43FF" w:rsidRDefault="003B51CF" w:rsidP="00F85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3FF">
              <w:rPr>
                <w:rFonts w:ascii="Times New Roman" w:hAnsi="Times New Roman" w:cs="Times New Roman"/>
                <w:b/>
                <w:sz w:val="16"/>
                <w:szCs w:val="16"/>
              </w:rPr>
              <w:t>Pérdida (U$S)</w:t>
            </w:r>
          </w:p>
        </w:tc>
        <w:tc>
          <w:tcPr>
            <w:tcW w:w="7612" w:type="dxa"/>
            <w:gridSpan w:val="12"/>
          </w:tcPr>
          <w:p w:rsidR="003B51CF" w:rsidRPr="000F43FF" w:rsidRDefault="000F43FF" w:rsidP="00F85C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43FF">
              <w:rPr>
                <w:rFonts w:ascii="Times New Roman" w:hAnsi="Times New Roman" w:cs="Times New Roman"/>
                <w:b/>
                <w:color w:val="FF0000"/>
              </w:rPr>
              <w:t>116.8</w:t>
            </w:r>
            <w:r w:rsidR="008F13C0">
              <w:rPr>
                <w:rFonts w:ascii="Times New Roman" w:hAnsi="Times New Roman" w:cs="Times New Roman"/>
                <w:b/>
                <w:color w:val="FF0000"/>
              </w:rPr>
              <w:t>12.000</w:t>
            </w:r>
          </w:p>
        </w:tc>
      </w:tr>
    </w:tbl>
    <w:p w:rsidR="003B51CF" w:rsidRDefault="00A618CF">
      <w:r>
        <w:t>Elaboración propia con datos del SENASA</w:t>
      </w:r>
    </w:p>
    <w:p w:rsidR="003B51CF" w:rsidRDefault="00925B97">
      <w:r>
        <w:t>Con este nuevo incumplimiento, ya son 6 años (C</w:t>
      </w:r>
      <w:r w:rsidR="00831BD1">
        <w:t>uadro 2) que el</w:t>
      </w:r>
      <w:r>
        <w:t xml:space="preserve"> país desaprovecha la posibilidad de que ingrese divisas al país mediante </w:t>
      </w:r>
      <w:r w:rsidR="00831BD1">
        <w:t>la exportación del</w:t>
      </w:r>
      <w:r>
        <w:t xml:space="preserve"> producto cárnico </w:t>
      </w:r>
      <w:r w:rsidR="00831BD1">
        <w:t>más caro de la actualidad.</w:t>
      </w:r>
    </w:p>
    <w:p w:rsidR="003B51CF" w:rsidRDefault="00831BD1">
      <w:r>
        <w:t>Cuadro 2: Cumplimiento de la Cuota Hilton de los últimos 6 años</w:t>
      </w:r>
    </w:p>
    <w:tbl>
      <w:tblPr>
        <w:tblStyle w:val="Tablaconcuadrcula"/>
        <w:tblW w:w="0" w:type="auto"/>
        <w:tblLook w:val="04A0"/>
      </w:tblPr>
      <w:tblGrid>
        <w:gridCol w:w="1668"/>
        <w:gridCol w:w="1134"/>
        <w:gridCol w:w="1134"/>
        <w:gridCol w:w="1275"/>
        <w:gridCol w:w="1134"/>
        <w:gridCol w:w="1221"/>
        <w:gridCol w:w="1133"/>
      </w:tblGrid>
      <w:tr w:rsidR="003B51CF" w:rsidRPr="00665B58" w:rsidTr="00831BD1">
        <w:tc>
          <w:tcPr>
            <w:tcW w:w="1668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  <w:lang w:val="en-US"/>
              </w:rPr>
            </w:pPr>
            <w:r w:rsidRPr="00831BD1">
              <w:rPr>
                <w:sz w:val="18"/>
                <w:szCs w:val="18"/>
                <w:lang w:val="en-US"/>
              </w:rPr>
              <w:t>2007/08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ind w:left="125"/>
              <w:jc w:val="center"/>
              <w:rPr>
                <w:sz w:val="18"/>
                <w:szCs w:val="18"/>
                <w:lang w:val="en-US"/>
              </w:rPr>
            </w:pPr>
            <w:r w:rsidRPr="00831BD1">
              <w:rPr>
                <w:sz w:val="18"/>
                <w:szCs w:val="18"/>
                <w:lang w:val="en-US"/>
              </w:rPr>
              <w:t>2008/09</w:t>
            </w:r>
          </w:p>
        </w:tc>
        <w:tc>
          <w:tcPr>
            <w:tcW w:w="1275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  <w:lang w:val="en-US"/>
              </w:rPr>
            </w:pPr>
            <w:r w:rsidRPr="00831BD1">
              <w:rPr>
                <w:sz w:val="18"/>
                <w:szCs w:val="18"/>
                <w:lang w:val="en-US"/>
              </w:rPr>
              <w:t>2009/10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  <w:r w:rsidRPr="00831BD1">
              <w:rPr>
                <w:sz w:val="18"/>
                <w:szCs w:val="18"/>
                <w:lang w:val="en-US"/>
              </w:rPr>
              <w:t>2010/11</w:t>
            </w:r>
          </w:p>
        </w:tc>
        <w:tc>
          <w:tcPr>
            <w:tcW w:w="1221" w:type="dxa"/>
          </w:tcPr>
          <w:p w:rsidR="003B51CF" w:rsidRPr="00831BD1" w:rsidRDefault="003B51CF" w:rsidP="00831BD1">
            <w:pPr>
              <w:ind w:left="115"/>
              <w:jc w:val="center"/>
              <w:rPr>
                <w:sz w:val="18"/>
                <w:szCs w:val="18"/>
                <w:lang w:val="en-US"/>
              </w:rPr>
            </w:pPr>
            <w:r w:rsidRPr="00831BD1">
              <w:rPr>
                <w:sz w:val="18"/>
                <w:szCs w:val="18"/>
                <w:lang w:val="en-US"/>
              </w:rPr>
              <w:t>2011/12</w:t>
            </w:r>
          </w:p>
        </w:tc>
        <w:tc>
          <w:tcPr>
            <w:tcW w:w="1133" w:type="dxa"/>
          </w:tcPr>
          <w:p w:rsidR="003B51CF" w:rsidRPr="00831BD1" w:rsidRDefault="003B51CF" w:rsidP="00831BD1">
            <w:pPr>
              <w:ind w:left="300"/>
              <w:jc w:val="center"/>
              <w:rPr>
                <w:sz w:val="18"/>
                <w:szCs w:val="18"/>
                <w:lang w:val="en-US"/>
              </w:rPr>
            </w:pPr>
            <w:r w:rsidRPr="00831BD1">
              <w:rPr>
                <w:sz w:val="18"/>
                <w:szCs w:val="18"/>
                <w:lang w:val="en-US"/>
              </w:rPr>
              <w:t>2012/13</w:t>
            </w:r>
          </w:p>
        </w:tc>
      </w:tr>
      <w:tr w:rsidR="003B51CF" w:rsidRPr="00665B58" w:rsidTr="00831BD1">
        <w:tc>
          <w:tcPr>
            <w:tcW w:w="1668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Total</w:t>
            </w:r>
            <w:r w:rsidR="00831BD1" w:rsidRPr="00831BD1">
              <w:rPr>
                <w:sz w:val="18"/>
                <w:szCs w:val="18"/>
              </w:rPr>
              <w:t xml:space="preserve"> embarcado (</w:t>
            </w:r>
            <w:proofErr w:type="spellStart"/>
            <w:r w:rsidR="00831BD1" w:rsidRPr="00831BD1">
              <w:rPr>
                <w:sz w:val="18"/>
                <w:szCs w:val="18"/>
              </w:rPr>
              <w:t>Tn</w:t>
            </w:r>
            <w:proofErr w:type="spellEnd"/>
            <w:r w:rsidR="00831BD1" w:rsidRPr="00831BD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ind w:left="5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24.988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ind w:left="85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26.002</w:t>
            </w:r>
          </w:p>
        </w:tc>
        <w:tc>
          <w:tcPr>
            <w:tcW w:w="1275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17.054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ind w:left="140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25.602</w:t>
            </w:r>
          </w:p>
        </w:tc>
        <w:tc>
          <w:tcPr>
            <w:tcW w:w="1221" w:type="dxa"/>
          </w:tcPr>
          <w:p w:rsidR="003B51CF" w:rsidRPr="00831BD1" w:rsidRDefault="003B51CF" w:rsidP="00831BD1">
            <w:pPr>
              <w:ind w:left="145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18.050</w:t>
            </w:r>
          </w:p>
        </w:tc>
        <w:tc>
          <w:tcPr>
            <w:tcW w:w="1133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22.351</w:t>
            </w:r>
          </w:p>
        </w:tc>
      </w:tr>
      <w:tr w:rsidR="003B51CF" w:rsidRPr="00665B58" w:rsidTr="00831BD1">
        <w:tc>
          <w:tcPr>
            <w:tcW w:w="1668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Contingente</w:t>
            </w:r>
            <w:r w:rsidR="00831BD1" w:rsidRPr="00831BD1">
              <w:rPr>
                <w:sz w:val="18"/>
                <w:szCs w:val="18"/>
              </w:rPr>
              <w:t xml:space="preserve"> (</w:t>
            </w:r>
            <w:proofErr w:type="spellStart"/>
            <w:r w:rsidR="00831BD1" w:rsidRPr="00831BD1">
              <w:rPr>
                <w:sz w:val="18"/>
                <w:szCs w:val="18"/>
              </w:rPr>
              <w:t>Tn</w:t>
            </w:r>
            <w:proofErr w:type="spellEnd"/>
            <w:r w:rsidR="00831BD1" w:rsidRPr="00831BD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28.000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28.000</w:t>
            </w:r>
          </w:p>
        </w:tc>
        <w:tc>
          <w:tcPr>
            <w:tcW w:w="1275" w:type="dxa"/>
          </w:tcPr>
          <w:p w:rsidR="003B51CF" w:rsidRPr="00831BD1" w:rsidRDefault="003B51CF" w:rsidP="00831BD1">
            <w:pPr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28.000</w:t>
            </w:r>
          </w:p>
        </w:tc>
        <w:tc>
          <w:tcPr>
            <w:tcW w:w="1134" w:type="dxa"/>
          </w:tcPr>
          <w:p w:rsidR="003B51CF" w:rsidRPr="00831BD1" w:rsidRDefault="003B51CF" w:rsidP="00831BD1">
            <w:pPr>
              <w:ind w:left="200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28.000</w:t>
            </w:r>
          </w:p>
        </w:tc>
        <w:tc>
          <w:tcPr>
            <w:tcW w:w="1221" w:type="dxa"/>
          </w:tcPr>
          <w:p w:rsidR="003B51CF" w:rsidRPr="00831BD1" w:rsidRDefault="003B51CF" w:rsidP="00831BD1">
            <w:pPr>
              <w:ind w:left="265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29.375</w:t>
            </w:r>
          </w:p>
        </w:tc>
        <w:tc>
          <w:tcPr>
            <w:tcW w:w="1133" w:type="dxa"/>
          </w:tcPr>
          <w:p w:rsidR="003B51CF" w:rsidRPr="00831BD1" w:rsidRDefault="003B51CF" w:rsidP="00831BD1">
            <w:pPr>
              <w:ind w:left="405"/>
              <w:jc w:val="center"/>
              <w:rPr>
                <w:sz w:val="18"/>
                <w:szCs w:val="18"/>
              </w:rPr>
            </w:pPr>
            <w:r w:rsidRPr="00831BD1">
              <w:rPr>
                <w:sz w:val="18"/>
                <w:szCs w:val="18"/>
              </w:rPr>
              <w:t>30.000</w:t>
            </w:r>
          </w:p>
        </w:tc>
      </w:tr>
      <w:tr w:rsidR="003B51CF" w:rsidTr="00831BD1">
        <w:tc>
          <w:tcPr>
            <w:tcW w:w="1668" w:type="dxa"/>
          </w:tcPr>
          <w:p w:rsidR="003B51CF" w:rsidRPr="00831BD1" w:rsidRDefault="003B51CF" w:rsidP="00831B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Diferencia</w:t>
            </w:r>
            <w:r w:rsidR="00831BD1" w:rsidRPr="00831BD1">
              <w:rPr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31BD1" w:rsidRPr="00831BD1">
              <w:rPr>
                <w:b/>
                <w:color w:val="FF0000"/>
                <w:sz w:val="18"/>
                <w:szCs w:val="18"/>
              </w:rPr>
              <w:t>Tn</w:t>
            </w:r>
            <w:proofErr w:type="spellEnd"/>
            <w:r w:rsidR="00831BD1" w:rsidRPr="00831BD1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B51CF" w:rsidRPr="00831BD1" w:rsidRDefault="00831BD1" w:rsidP="00831BD1">
            <w:pPr>
              <w:ind w:left="20"/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-</w:t>
            </w:r>
            <w:r w:rsidR="003B51CF" w:rsidRPr="00831BD1">
              <w:rPr>
                <w:b/>
                <w:color w:val="FF0000"/>
                <w:sz w:val="18"/>
                <w:szCs w:val="18"/>
              </w:rPr>
              <w:t>3.012</w:t>
            </w:r>
          </w:p>
        </w:tc>
        <w:tc>
          <w:tcPr>
            <w:tcW w:w="1134" w:type="dxa"/>
          </w:tcPr>
          <w:p w:rsidR="003B51CF" w:rsidRPr="00831BD1" w:rsidRDefault="00831BD1" w:rsidP="00831B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-</w:t>
            </w:r>
            <w:r w:rsidR="003B51CF" w:rsidRPr="00831BD1">
              <w:rPr>
                <w:b/>
                <w:color w:val="FF0000"/>
                <w:sz w:val="18"/>
                <w:szCs w:val="18"/>
              </w:rPr>
              <w:t>1.998</w:t>
            </w:r>
          </w:p>
        </w:tc>
        <w:tc>
          <w:tcPr>
            <w:tcW w:w="1275" w:type="dxa"/>
          </w:tcPr>
          <w:p w:rsidR="003B51CF" w:rsidRPr="00831BD1" w:rsidRDefault="00831BD1" w:rsidP="00831B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-</w:t>
            </w:r>
            <w:r w:rsidR="003B51CF" w:rsidRPr="00831BD1">
              <w:rPr>
                <w:b/>
                <w:color w:val="FF0000"/>
                <w:sz w:val="18"/>
                <w:szCs w:val="18"/>
              </w:rPr>
              <w:t>10.946</w:t>
            </w:r>
          </w:p>
        </w:tc>
        <w:tc>
          <w:tcPr>
            <w:tcW w:w="1134" w:type="dxa"/>
          </w:tcPr>
          <w:p w:rsidR="003B51CF" w:rsidRPr="00831BD1" w:rsidRDefault="00831BD1" w:rsidP="00831BD1">
            <w:pPr>
              <w:ind w:left="245"/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-</w:t>
            </w:r>
            <w:r w:rsidR="003B51CF" w:rsidRPr="00831BD1">
              <w:rPr>
                <w:b/>
                <w:color w:val="FF0000"/>
                <w:sz w:val="18"/>
                <w:szCs w:val="18"/>
              </w:rPr>
              <w:t>2.398</w:t>
            </w:r>
          </w:p>
        </w:tc>
        <w:tc>
          <w:tcPr>
            <w:tcW w:w="1221" w:type="dxa"/>
          </w:tcPr>
          <w:p w:rsidR="003B51CF" w:rsidRPr="00831BD1" w:rsidRDefault="00831BD1" w:rsidP="00831BD1">
            <w:pPr>
              <w:ind w:left="235"/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-</w:t>
            </w:r>
            <w:r w:rsidR="003B51CF" w:rsidRPr="00831BD1">
              <w:rPr>
                <w:b/>
                <w:color w:val="FF0000"/>
                <w:sz w:val="18"/>
                <w:szCs w:val="18"/>
              </w:rPr>
              <w:t>11.325</w:t>
            </w:r>
          </w:p>
        </w:tc>
        <w:tc>
          <w:tcPr>
            <w:tcW w:w="1133" w:type="dxa"/>
          </w:tcPr>
          <w:p w:rsidR="003B51CF" w:rsidRPr="00831BD1" w:rsidRDefault="00831BD1" w:rsidP="00831BD1">
            <w:pPr>
              <w:ind w:left="345"/>
              <w:jc w:val="center"/>
              <w:rPr>
                <w:b/>
                <w:color w:val="FF0000"/>
                <w:sz w:val="18"/>
                <w:szCs w:val="18"/>
              </w:rPr>
            </w:pPr>
            <w:r w:rsidRPr="00831BD1">
              <w:rPr>
                <w:b/>
                <w:color w:val="FF0000"/>
                <w:sz w:val="18"/>
                <w:szCs w:val="18"/>
              </w:rPr>
              <w:t>-</w:t>
            </w:r>
            <w:r w:rsidR="003B51CF" w:rsidRPr="00831BD1">
              <w:rPr>
                <w:b/>
                <w:color w:val="FF0000"/>
                <w:sz w:val="18"/>
                <w:szCs w:val="18"/>
              </w:rPr>
              <w:t>7.685</w:t>
            </w:r>
          </w:p>
        </w:tc>
      </w:tr>
    </w:tbl>
    <w:p w:rsidR="003B51CF" w:rsidRDefault="00A618CF">
      <w:r>
        <w:t>Elaboración propia con datos del SENASA</w:t>
      </w:r>
    </w:p>
    <w:p w:rsidR="00A618CF" w:rsidRDefault="00A618CF">
      <w:r>
        <w:lastRenderedPageBreak/>
        <w:t>Gráfico 1</w:t>
      </w:r>
    </w:p>
    <w:p w:rsidR="00EA012E" w:rsidRDefault="00EA012E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A012E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1CF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3FF"/>
    <w:rsid w:val="000F4D75"/>
    <w:rsid w:val="000F74B5"/>
    <w:rsid w:val="000F7648"/>
    <w:rsid w:val="001002B0"/>
    <w:rsid w:val="00101805"/>
    <w:rsid w:val="00104269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BEB"/>
    <w:rsid w:val="001676D6"/>
    <w:rsid w:val="0017159E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64DA"/>
    <w:rsid w:val="00197AAF"/>
    <w:rsid w:val="001A0C6C"/>
    <w:rsid w:val="001A6FD2"/>
    <w:rsid w:val="001B36DE"/>
    <w:rsid w:val="001B5E3F"/>
    <w:rsid w:val="001B65C3"/>
    <w:rsid w:val="001B6C13"/>
    <w:rsid w:val="001C1075"/>
    <w:rsid w:val="001C1780"/>
    <w:rsid w:val="001C2675"/>
    <w:rsid w:val="001D29DD"/>
    <w:rsid w:val="001D38DD"/>
    <w:rsid w:val="001D513D"/>
    <w:rsid w:val="001E3420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51CF"/>
    <w:rsid w:val="003B76EF"/>
    <w:rsid w:val="003C054A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4676"/>
    <w:rsid w:val="003F51DF"/>
    <w:rsid w:val="003F5AA4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2835"/>
    <w:rsid w:val="004C5DE3"/>
    <w:rsid w:val="004C7BAB"/>
    <w:rsid w:val="004D3927"/>
    <w:rsid w:val="004D62D7"/>
    <w:rsid w:val="004E05E8"/>
    <w:rsid w:val="004E16E1"/>
    <w:rsid w:val="004E275D"/>
    <w:rsid w:val="004E46D7"/>
    <w:rsid w:val="004E54DC"/>
    <w:rsid w:val="004E63E3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C1526"/>
    <w:rsid w:val="005C25CA"/>
    <w:rsid w:val="005C4DB0"/>
    <w:rsid w:val="005C4E81"/>
    <w:rsid w:val="005C62D1"/>
    <w:rsid w:val="005D4761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43F8"/>
    <w:rsid w:val="0063443F"/>
    <w:rsid w:val="006402B5"/>
    <w:rsid w:val="00640C9B"/>
    <w:rsid w:val="006467EC"/>
    <w:rsid w:val="00647EB2"/>
    <w:rsid w:val="00654BD1"/>
    <w:rsid w:val="0065637C"/>
    <w:rsid w:val="00662DF4"/>
    <w:rsid w:val="00663778"/>
    <w:rsid w:val="006638DB"/>
    <w:rsid w:val="0066550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4C4"/>
    <w:rsid w:val="006C764E"/>
    <w:rsid w:val="006D22A8"/>
    <w:rsid w:val="006D2BC9"/>
    <w:rsid w:val="006E0DAC"/>
    <w:rsid w:val="006E1CE0"/>
    <w:rsid w:val="006E35E4"/>
    <w:rsid w:val="006F06AE"/>
    <w:rsid w:val="007025C4"/>
    <w:rsid w:val="0070375C"/>
    <w:rsid w:val="007041A5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65B78"/>
    <w:rsid w:val="00767AF1"/>
    <w:rsid w:val="00771AD8"/>
    <w:rsid w:val="00774A7A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D4D52"/>
    <w:rsid w:val="007E3BA6"/>
    <w:rsid w:val="007E4631"/>
    <w:rsid w:val="007F00F0"/>
    <w:rsid w:val="007F080C"/>
    <w:rsid w:val="007F18B3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1BD1"/>
    <w:rsid w:val="00833C8C"/>
    <w:rsid w:val="00836D58"/>
    <w:rsid w:val="0084049A"/>
    <w:rsid w:val="00843D6F"/>
    <w:rsid w:val="0084520A"/>
    <w:rsid w:val="00855A84"/>
    <w:rsid w:val="008631A1"/>
    <w:rsid w:val="00863B3E"/>
    <w:rsid w:val="0086759E"/>
    <w:rsid w:val="008724EC"/>
    <w:rsid w:val="00874E16"/>
    <w:rsid w:val="00876314"/>
    <w:rsid w:val="00883D9C"/>
    <w:rsid w:val="0088611C"/>
    <w:rsid w:val="00886C40"/>
    <w:rsid w:val="008876D1"/>
    <w:rsid w:val="00893C65"/>
    <w:rsid w:val="008979C1"/>
    <w:rsid w:val="008A0241"/>
    <w:rsid w:val="008A539A"/>
    <w:rsid w:val="008A5D79"/>
    <w:rsid w:val="008A5DFF"/>
    <w:rsid w:val="008A6B82"/>
    <w:rsid w:val="008A7688"/>
    <w:rsid w:val="008B1342"/>
    <w:rsid w:val="008B5075"/>
    <w:rsid w:val="008B5106"/>
    <w:rsid w:val="008B5E9F"/>
    <w:rsid w:val="008B610A"/>
    <w:rsid w:val="008B7A79"/>
    <w:rsid w:val="008C307A"/>
    <w:rsid w:val="008C3293"/>
    <w:rsid w:val="008C36C7"/>
    <w:rsid w:val="008C5736"/>
    <w:rsid w:val="008C6CBA"/>
    <w:rsid w:val="008D4640"/>
    <w:rsid w:val="008E00FF"/>
    <w:rsid w:val="008E04BC"/>
    <w:rsid w:val="008E4DB0"/>
    <w:rsid w:val="008E6D10"/>
    <w:rsid w:val="008E6EFC"/>
    <w:rsid w:val="008F13C0"/>
    <w:rsid w:val="008F2E77"/>
    <w:rsid w:val="008F44C8"/>
    <w:rsid w:val="008F690F"/>
    <w:rsid w:val="008F79AB"/>
    <w:rsid w:val="00907680"/>
    <w:rsid w:val="00910B74"/>
    <w:rsid w:val="00915BA3"/>
    <w:rsid w:val="00916DA1"/>
    <w:rsid w:val="00920780"/>
    <w:rsid w:val="00925B97"/>
    <w:rsid w:val="00925C89"/>
    <w:rsid w:val="00926A15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181C"/>
    <w:rsid w:val="00991AAD"/>
    <w:rsid w:val="00991D94"/>
    <w:rsid w:val="009924C3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7AC7"/>
    <w:rsid w:val="00A4163F"/>
    <w:rsid w:val="00A41B96"/>
    <w:rsid w:val="00A4383B"/>
    <w:rsid w:val="00A43A56"/>
    <w:rsid w:val="00A43DBF"/>
    <w:rsid w:val="00A508EB"/>
    <w:rsid w:val="00A54CE8"/>
    <w:rsid w:val="00A579F0"/>
    <w:rsid w:val="00A618CF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1022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5FA6"/>
    <w:rsid w:val="00C114BA"/>
    <w:rsid w:val="00C1527E"/>
    <w:rsid w:val="00C2214C"/>
    <w:rsid w:val="00C23EEF"/>
    <w:rsid w:val="00C3020A"/>
    <w:rsid w:val="00C36699"/>
    <w:rsid w:val="00C41FA6"/>
    <w:rsid w:val="00C44284"/>
    <w:rsid w:val="00C44602"/>
    <w:rsid w:val="00C44DEB"/>
    <w:rsid w:val="00C4686B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4CF8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3CFA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5B5A"/>
    <w:rsid w:val="00E96DF2"/>
    <w:rsid w:val="00EA012E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67B"/>
    <w:rsid w:val="00FB57A3"/>
    <w:rsid w:val="00FB5F9F"/>
    <w:rsid w:val="00FD5EC4"/>
    <w:rsid w:val="00FE1A69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CUOTA</a:t>
            </a:r>
            <a:r>
              <a:rPr lang="es-ES" baseline="0"/>
              <a:t> HILTON</a:t>
            </a:r>
            <a:endParaRPr lang="es-ES"/>
          </a:p>
        </c:rich>
      </c:tx>
    </c:title>
    <c:plotArea>
      <c:layout/>
      <c:areaChart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Embarcado (Tn)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1010/11</c:v>
                </c:pt>
                <c:pt idx="4">
                  <c:v>2011/12</c:v>
                </c:pt>
                <c:pt idx="5">
                  <c:v>2012/13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 formatCode="#,##0">
                  <c:v>24988</c:v>
                </c:pt>
                <c:pt idx="1">
                  <c:v>26002</c:v>
                </c:pt>
                <c:pt idx="2">
                  <c:v>17054</c:v>
                </c:pt>
                <c:pt idx="3">
                  <c:v>25602</c:v>
                </c:pt>
                <c:pt idx="4">
                  <c:v>18050</c:v>
                </c:pt>
                <c:pt idx="5">
                  <c:v>22351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Incumplimiento (Tn)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1010/11</c:v>
                </c:pt>
                <c:pt idx="4">
                  <c:v>2011/12</c:v>
                </c:pt>
                <c:pt idx="5">
                  <c:v>2012/13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3012</c:v>
                </c:pt>
                <c:pt idx="1">
                  <c:v>1998</c:v>
                </c:pt>
                <c:pt idx="2">
                  <c:v>10946</c:v>
                </c:pt>
                <c:pt idx="3">
                  <c:v>2398</c:v>
                </c:pt>
                <c:pt idx="4">
                  <c:v>11325</c:v>
                </c:pt>
                <c:pt idx="5">
                  <c:v>7685</c:v>
                </c:pt>
              </c:numCache>
            </c:numRef>
          </c:val>
        </c:ser>
        <c:axId val="37318656"/>
        <c:axId val="37320576"/>
      </c:areaChart>
      <c:catAx>
        <c:axId val="37318656"/>
        <c:scaling>
          <c:orientation val="minMax"/>
        </c:scaling>
        <c:axPos val="b"/>
        <c:numFmt formatCode="dd/mm/yyyy" sourceLinked="1"/>
        <c:majorTickMark val="none"/>
        <c:tickLblPos val="nextTo"/>
        <c:crossAx val="37320576"/>
        <c:crosses val="autoZero"/>
        <c:auto val="1"/>
        <c:lblAlgn val="ctr"/>
        <c:lblOffset val="100"/>
      </c:catAx>
      <c:valAx>
        <c:axId val="3732057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37318656"/>
        <c:crosses val="autoZero"/>
        <c:crossBetween val="midCat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7</cp:revision>
  <dcterms:created xsi:type="dcterms:W3CDTF">2013-08-01T19:50:00Z</dcterms:created>
  <dcterms:modified xsi:type="dcterms:W3CDTF">2013-08-03T23:30:00Z</dcterms:modified>
</cp:coreProperties>
</file>