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B5" w:rsidRDefault="004E6EFE" w:rsidP="00540DB5">
      <w:pPr>
        <w:rPr>
          <w:rFonts w:ascii="Times New Roman" w:hAnsi="Times New Roman" w:cs="Times New Roman"/>
        </w:rPr>
      </w:pPr>
      <w:r>
        <w:rPr>
          <w:sz w:val="56"/>
          <w:szCs w:val="56"/>
        </w:rPr>
        <w:t>Cuota Hilton</w:t>
      </w:r>
      <w:r w:rsidR="001C2013" w:rsidRPr="001C2013">
        <w:rPr>
          <w:sz w:val="36"/>
          <w:szCs w:val="36"/>
        </w:rPr>
        <w:t xml:space="preserve">: </w:t>
      </w:r>
      <w:r w:rsidR="00540DB5">
        <w:rPr>
          <w:sz w:val="36"/>
          <w:szCs w:val="36"/>
        </w:rPr>
        <w:t>Muy pocos embarques de corte Hilton en Marzo de 2014</w:t>
      </w:r>
      <w:r w:rsidR="00540DB5" w:rsidRPr="00540DB5">
        <w:rPr>
          <w:rFonts w:ascii="Times New Roman" w:hAnsi="Times New Roman" w:cs="Times New Roman"/>
        </w:rPr>
        <w:t xml:space="preserve"> </w:t>
      </w:r>
    </w:p>
    <w:p w:rsidR="00540DB5" w:rsidRPr="00540DB5" w:rsidRDefault="00540DB5" w:rsidP="00B20D2F">
      <w:pPr>
        <w:rPr>
          <w:rFonts w:ascii="Times New Roman" w:hAnsi="Times New Roman" w:cs="Times New Roman"/>
          <w:i/>
          <w:sz w:val="32"/>
          <w:szCs w:val="32"/>
        </w:rPr>
      </w:pPr>
      <w:r w:rsidRPr="00540DB5">
        <w:rPr>
          <w:rFonts w:ascii="Times New Roman" w:hAnsi="Times New Roman" w:cs="Times New Roman"/>
          <w:i/>
          <w:sz w:val="32"/>
          <w:szCs w:val="32"/>
        </w:rPr>
        <w:t>“En los últimos siete años por esta falta de cumplimiento de la Cuota Hilton  no ingresaron al país  alrededor de 632 millones de dólares”</w:t>
      </w:r>
    </w:p>
    <w:p w:rsidR="00C35286" w:rsidRPr="0098159A" w:rsidRDefault="00C35286" w:rsidP="0098159A">
      <w:pPr>
        <w:pStyle w:val="Prrafodelista"/>
        <w:numPr>
          <w:ilvl w:val="0"/>
          <w:numId w:val="2"/>
        </w:numPr>
      </w:pPr>
      <w:r w:rsidRPr="0098159A">
        <w:rPr>
          <w:b/>
        </w:rPr>
        <w:t>Introducción:</w:t>
      </w:r>
    </w:p>
    <w:p w:rsidR="00C35286" w:rsidRDefault="00C35286" w:rsidP="00C35286">
      <w:pPr>
        <w:pStyle w:val="Prrafodelista"/>
        <w:ind w:left="218"/>
      </w:pPr>
    </w:p>
    <w:p w:rsidR="00127FDB" w:rsidRDefault="00127FDB" w:rsidP="00127FDB">
      <w:pPr>
        <w:pStyle w:val="Prrafodelista"/>
        <w:ind w:left="-142"/>
      </w:pPr>
      <w:r>
        <w:t>Con los últimos datos dados a conocer por el SENASA</w:t>
      </w:r>
      <w:r w:rsidR="0098159A">
        <w:t xml:space="preserve"> del mes de Marzo de 2014</w:t>
      </w:r>
      <w:r>
        <w:t>, pod</w:t>
      </w:r>
      <w:r w:rsidR="004962F8">
        <w:t>emos decir que</w:t>
      </w:r>
      <w:r w:rsidR="00B20D2F">
        <w:t xml:space="preserve"> en los primeros 9</w:t>
      </w:r>
      <w:r w:rsidR="001721DB">
        <w:t xml:space="preserve"> meses</w:t>
      </w:r>
      <w:r w:rsidR="004962F8">
        <w:t xml:space="preserve"> </w:t>
      </w:r>
      <w:r>
        <w:t xml:space="preserve">del ciclo de la Cuota Hilton –recordemos que los embarques se realizan a partir de Julio de un año hasta Junio del año siguiente- solo se embarcaron el </w:t>
      </w:r>
      <w:r w:rsidR="00B20D2F">
        <w:t>5</w:t>
      </w:r>
      <w:r w:rsidR="00702F1A">
        <w:t>0</w:t>
      </w:r>
      <w:r w:rsidR="00C35286">
        <w:t xml:space="preserve"> % de la Cuota adjudicada (Cuadro </w:t>
      </w:r>
      <w:r w:rsidR="001721DB">
        <w:t>1),  lo que</w:t>
      </w:r>
      <w:r w:rsidR="00B20D2F">
        <w:t xml:space="preserve"> implica que en los 3</w:t>
      </w:r>
      <w:r w:rsidR="00C35286">
        <w:t xml:space="preserve"> meses restan</w:t>
      </w:r>
      <w:r w:rsidR="00B20D2F">
        <w:t>te se debería embarcar el otro 5</w:t>
      </w:r>
      <w:r w:rsidR="00702F1A">
        <w:t>0</w:t>
      </w:r>
      <w:r w:rsidR="00B20D2F">
        <w:t xml:space="preserve"> %, hecho totalmente improbable.</w:t>
      </w:r>
    </w:p>
    <w:p w:rsidR="00992771" w:rsidRDefault="00992771" w:rsidP="00992771"/>
    <w:p w:rsidR="003468C2" w:rsidRPr="00E95EEC" w:rsidRDefault="000D36E5" w:rsidP="00992771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Cuadro1: Embarques Cuota</w:t>
      </w:r>
      <w:r w:rsidR="00B20D2F">
        <w:rPr>
          <w:rFonts w:ascii="Times New Roman" w:hAnsi="Times New Roman" w:cs="Times New Roman"/>
        </w:rPr>
        <w:t xml:space="preserve"> Hilton peso producto primeros 9</w:t>
      </w:r>
      <w:r w:rsidRPr="00E95EEC">
        <w:rPr>
          <w:rFonts w:ascii="Times New Roman" w:hAnsi="Times New Roman" w:cs="Times New Roman"/>
        </w:rPr>
        <w:t xml:space="preserve"> meses del ciclo 2012/13</w:t>
      </w:r>
    </w:p>
    <w:tbl>
      <w:tblPr>
        <w:tblStyle w:val="Tablaconcuadrcula"/>
        <w:tblW w:w="0" w:type="auto"/>
        <w:tblLook w:val="04A0"/>
      </w:tblPr>
      <w:tblGrid>
        <w:gridCol w:w="1210"/>
        <w:gridCol w:w="763"/>
        <w:gridCol w:w="763"/>
        <w:gridCol w:w="802"/>
        <w:gridCol w:w="824"/>
        <w:gridCol w:w="943"/>
        <w:gridCol w:w="826"/>
        <w:gridCol w:w="917"/>
        <w:gridCol w:w="836"/>
        <w:gridCol w:w="836"/>
      </w:tblGrid>
      <w:tr w:rsidR="00B20D2F" w:rsidRPr="00E95EEC" w:rsidTr="00B20D2F">
        <w:tc>
          <w:tcPr>
            <w:tcW w:w="1210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Meses</w:t>
            </w:r>
          </w:p>
        </w:tc>
        <w:tc>
          <w:tcPr>
            <w:tcW w:w="763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Jul-1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Ag-1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02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Set-1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24" w:type="dxa"/>
          </w:tcPr>
          <w:p w:rsidR="00B20D2F" w:rsidRPr="00E95EEC" w:rsidRDefault="00B20D2F" w:rsidP="004962F8">
            <w:pPr>
              <w:ind w:left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Oct-1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43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Nov-1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26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Dic-1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17" w:type="dxa"/>
          </w:tcPr>
          <w:p w:rsidR="00B20D2F" w:rsidRPr="00E95EEC" w:rsidRDefault="00B20D2F" w:rsidP="004962F8">
            <w:pPr>
              <w:ind w:left="5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5EEC">
              <w:rPr>
                <w:rFonts w:ascii="Times New Roman" w:hAnsi="Times New Roman" w:cs="Times New Roman"/>
                <w:lang w:val="en-US"/>
              </w:rPr>
              <w:t>En-1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36" w:type="dxa"/>
          </w:tcPr>
          <w:p w:rsidR="00B20D2F" w:rsidRPr="00E95EEC" w:rsidRDefault="00B20D2F" w:rsidP="004962F8">
            <w:pPr>
              <w:ind w:left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Febr-14</w:t>
            </w:r>
          </w:p>
        </w:tc>
        <w:tc>
          <w:tcPr>
            <w:tcW w:w="836" w:type="dxa"/>
          </w:tcPr>
          <w:p w:rsidR="00B20D2F" w:rsidRPr="00E95EEC" w:rsidRDefault="00B20D2F" w:rsidP="004962F8">
            <w:pPr>
              <w:ind w:left="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Marz-14</w:t>
            </w:r>
          </w:p>
        </w:tc>
      </w:tr>
      <w:tr w:rsidR="00B20D2F" w:rsidRPr="00E95EEC" w:rsidTr="00B20D2F">
        <w:tc>
          <w:tcPr>
            <w:tcW w:w="1210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Embarques</w:t>
            </w:r>
          </w:p>
        </w:tc>
        <w:tc>
          <w:tcPr>
            <w:tcW w:w="763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1.544</w:t>
            </w:r>
          </w:p>
        </w:tc>
        <w:tc>
          <w:tcPr>
            <w:tcW w:w="763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2.077</w:t>
            </w:r>
          </w:p>
        </w:tc>
        <w:tc>
          <w:tcPr>
            <w:tcW w:w="802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2.014</w:t>
            </w:r>
          </w:p>
        </w:tc>
        <w:tc>
          <w:tcPr>
            <w:tcW w:w="824" w:type="dxa"/>
          </w:tcPr>
          <w:p w:rsidR="00B20D2F" w:rsidRPr="00E95EEC" w:rsidRDefault="00B20D2F" w:rsidP="004962F8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1.554</w:t>
            </w:r>
          </w:p>
        </w:tc>
        <w:tc>
          <w:tcPr>
            <w:tcW w:w="943" w:type="dxa"/>
          </w:tcPr>
          <w:p w:rsidR="00B20D2F" w:rsidRPr="00E95EEC" w:rsidRDefault="00B20D2F" w:rsidP="004962F8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1.472</w:t>
            </w:r>
          </w:p>
        </w:tc>
        <w:tc>
          <w:tcPr>
            <w:tcW w:w="826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1.534</w:t>
            </w:r>
          </w:p>
        </w:tc>
        <w:tc>
          <w:tcPr>
            <w:tcW w:w="917" w:type="dxa"/>
          </w:tcPr>
          <w:p w:rsidR="00B20D2F" w:rsidRPr="00E95EEC" w:rsidRDefault="00B20D2F" w:rsidP="004962F8">
            <w:pPr>
              <w:ind w:lef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1.809</w:t>
            </w:r>
          </w:p>
        </w:tc>
        <w:tc>
          <w:tcPr>
            <w:tcW w:w="836" w:type="dxa"/>
          </w:tcPr>
          <w:p w:rsidR="00B20D2F" w:rsidRDefault="00B20D2F" w:rsidP="004962F8">
            <w:pPr>
              <w:ind w:lef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1.565</w:t>
            </w:r>
          </w:p>
        </w:tc>
        <w:tc>
          <w:tcPr>
            <w:tcW w:w="836" w:type="dxa"/>
          </w:tcPr>
          <w:p w:rsidR="00B20D2F" w:rsidRDefault="00B20D2F" w:rsidP="004962F8">
            <w:pPr>
              <w:ind w:left="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1.458</w:t>
            </w:r>
          </w:p>
        </w:tc>
      </w:tr>
      <w:tr w:rsidR="00B20D2F" w:rsidRPr="00E95EEC" w:rsidTr="00094A87">
        <w:tc>
          <w:tcPr>
            <w:tcW w:w="1210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7510" w:type="dxa"/>
            <w:gridSpan w:val="9"/>
          </w:tcPr>
          <w:p w:rsidR="00B20D2F" w:rsidRPr="00E95EEC" w:rsidRDefault="00B20D2F" w:rsidP="00B20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15.027</w:t>
            </w:r>
          </w:p>
        </w:tc>
      </w:tr>
      <w:tr w:rsidR="00B20D2F" w:rsidRPr="00E95EEC" w:rsidTr="00E0350C">
        <w:tc>
          <w:tcPr>
            <w:tcW w:w="1210" w:type="dxa"/>
          </w:tcPr>
          <w:p w:rsidR="00B20D2F" w:rsidRPr="00E95EEC" w:rsidRDefault="00B20D2F" w:rsidP="004962F8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Cuota Hilton</w:t>
            </w:r>
          </w:p>
        </w:tc>
        <w:tc>
          <w:tcPr>
            <w:tcW w:w="7510" w:type="dxa"/>
            <w:gridSpan w:val="9"/>
          </w:tcPr>
          <w:p w:rsidR="00B20D2F" w:rsidRPr="00E95EEC" w:rsidRDefault="00B20D2F" w:rsidP="00B20D2F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30.000</w:t>
            </w:r>
          </w:p>
        </w:tc>
      </w:tr>
      <w:tr w:rsidR="00B20D2F" w:rsidRPr="00E95EEC" w:rsidTr="00423696">
        <w:tc>
          <w:tcPr>
            <w:tcW w:w="1210" w:type="dxa"/>
          </w:tcPr>
          <w:p w:rsidR="00B20D2F" w:rsidRPr="00B20D2F" w:rsidRDefault="00B20D2F" w:rsidP="00496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D2F">
              <w:rPr>
                <w:rFonts w:ascii="Times New Roman" w:hAnsi="Times New Roman" w:cs="Times New Roman"/>
                <w:b/>
              </w:rPr>
              <w:t>Por ciento</w:t>
            </w:r>
          </w:p>
        </w:tc>
        <w:tc>
          <w:tcPr>
            <w:tcW w:w="7510" w:type="dxa"/>
            <w:gridSpan w:val="9"/>
          </w:tcPr>
          <w:p w:rsidR="00B20D2F" w:rsidRPr="00B20D2F" w:rsidRDefault="00B20D2F" w:rsidP="00B20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D2F">
              <w:rPr>
                <w:rFonts w:ascii="Times New Roman" w:hAnsi="Times New Roman" w:cs="Times New Roman"/>
                <w:b/>
              </w:rPr>
              <w:t>50 %</w:t>
            </w:r>
          </w:p>
        </w:tc>
      </w:tr>
    </w:tbl>
    <w:p w:rsidR="004962F8" w:rsidRDefault="00C35286" w:rsidP="00992771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Elaboración propia con datos del SE</w:t>
      </w:r>
      <w:r w:rsidR="004962F8">
        <w:rPr>
          <w:rFonts w:ascii="Times New Roman" w:hAnsi="Times New Roman" w:cs="Times New Roman"/>
        </w:rPr>
        <w:t>NASA (*) Estimado</w:t>
      </w:r>
    </w:p>
    <w:p w:rsidR="007579B6" w:rsidRPr="00E95EEC" w:rsidRDefault="007579B6" w:rsidP="00992771">
      <w:pPr>
        <w:rPr>
          <w:rFonts w:ascii="Times New Roman" w:hAnsi="Times New Roman" w:cs="Times New Roman"/>
        </w:rPr>
      </w:pPr>
    </w:p>
    <w:p w:rsidR="00C35286" w:rsidRDefault="00C35286" w:rsidP="001C2013">
      <w:pPr>
        <w:pStyle w:val="Prrafodelista"/>
        <w:numPr>
          <w:ilvl w:val="0"/>
          <w:numId w:val="2"/>
        </w:numPr>
        <w:rPr>
          <w:b/>
        </w:rPr>
      </w:pPr>
      <w:r w:rsidRPr="0098159A">
        <w:rPr>
          <w:b/>
        </w:rPr>
        <w:t>Pr</w:t>
      </w:r>
      <w:r w:rsidR="001721DB" w:rsidRPr="0098159A">
        <w:rPr>
          <w:b/>
        </w:rPr>
        <w:t>obables embarques del ciclo 2013</w:t>
      </w:r>
      <w:r w:rsidRPr="0098159A">
        <w:rPr>
          <w:b/>
        </w:rPr>
        <w:t>/1</w:t>
      </w:r>
      <w:r w:rsidR="001721DB" w:rsidRPr="0098159A">
        <w:rPr>
          <w:b/>
        </w:rPr>
        <w:t>4</w:t>
      </w:r>
      <w:r w:rsidRPr="0098159A">
        <w:rPr>
          <w:b/>
        </w:rPr>
        <w:t xml:space="preserve"> de Cuota Hilton</w:t>
      </w:r>
    </w:p>
    <w:p w:rsidR="0098159A" w:rsidRPr="0098159A" w:rsidRDefault="0098159A" w:rsidP="0098159A">
      <w:pPr>
        <w:pStyle w:val="Prrafodelista"/>
        <w:rPr>
          <w:b/>
        </w:rPr>
      </w:pPr>
    </w:p>
    <w:p w:rsidR="00C35286" w:rsidRPr="00E95EEC" w:rsidRDefault="00C35286" w:rsidP="00C35286">
      <w:pPr>
        <w:ind w:left="-142"/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En este caso vamos hacer un ensayo simple,</w:t>
      </w:r>
      <w:r w:rsidR="001C2013">
        <w:rPr>
          <w:rFonts w:ascii="Times New Roman" w:hAnsi="Times New Roman" w:cs="Times New Roman"/>
        </w:rPr>
        <w:t xml:space="preserve"> calculando que los embarques de</w:t>
      </w:r>
      <w:r w:rsidRPr="00E95EEC">
        <w:rPr>
          <w:rFonts w:ascii="Times New Roman" w:hAnsi="Times New Roman" w:cs="Times New Roman"/>
        </w:rPr>
        <w:t xml:space="preserve"> los </w:t>
      </w:r>
      <w:r w:rsidR="00B20D2F">
        <w:rPr>
          <w:rFonts w:ascii="Times New Roman" w:hAnsi="Times New Roman" w:cs="Times New Roman"/>
        </w:rPr>
        <w:t xml:space="preserve">3 </w:t>
      </w:r>
      <w:r w:rsidRPr="00E95EEC">
        <w:rPr>
          <w:rFonts w:ascii="Times New Roman" w:hAnsi="Times New Roman" w:cs="Times New Roman"/>
        </w:rPr>
        <w:t xml:space="preserve">meses faltantes </w:t>
      </w:r>
      <w:r w:rsidR="004962F8">
        <w:rPr>
          <w:rFonts w:ascii="Times New Roman" w:hAnsi="Times New Roman" w:cs="Times New Roman"/>
        </w:rPr>
        <w:t>del ciclo 2013/14</w:t>
      </w:r>
      <w:r w:rsidR="008A7A52">
        <w:rPr>
          <w:rFonts w:ascii="Times New Roman" w:hAnsi="Times New Roman" w:cs="Times New Roman"/>
        </w:rPr>
        <w:t xml:space="preserve"> fuesen</w:t>
      </w:r>
      <w:r w:rsidRPr="00E95EEC">
        <w:rPr>
          <w:rFonts w:ascii="Times New Roman" w:hAnsi="Times New Roman" w:cs="Times New Roman"/>
        </w:rPr>
        <w:t xml:space="preserve"> similares a l</w:t>
      </w:r>
      <w:r w:rsidR="00E95EEC" w:rsidRPr="00E95EEC">
        <w:rPr>
          <w:rFonts w:ascii="Times New Roman" w:hAnsi="Times New Roman" w:cs="Times New Roman"/>
        </w:rPr>
        <w:t>os embarques del ciclo anterior</w:t>
      </w:r>
      <w:r w:rsidR="001721DB">
        <w:rPr>
          <w:rFonts w:ascii="Times New Roman" w:hAnsi="Times New Roman" w:cs="Times New Roman"/>
        </w:rPr>
        <w:t xml:space="preserve"> –hecho también de baja probabilidad por la intervención actual del Gobierno en las exportaciones cárnicas-</w:t>
      </w:r>
      <w:r w:rsidR="001C2013">
        <w:rPr>
          <w:rFonts w:ascii="Times New Roman" w:hAnsi="Times New Roman" w:cs="Times New Roman"/>
        </w:rPr>
        <w:t>- obtendremos el</w:t>
      </w:r>
      <w:r w:rsidR="00E95EEC" w:rsidRPr="00E95EEC">
        <w:rPr>
          <w:rFonts w:ascii="Times New Roman" w:hAnsi="Times New Roman" w:cs="Times New Roman"/>
        </w:rPr>
        <w:t xml:space="preserve"> total de emba</w:t>
      </w:r>
      <w:r w:rsidR="001721DB">
        <w:rPr>
          <w:rFonts w:ascii="Times New Roman" w:hAnsi="Times New Roman" w:cs="Times New Roman"/>
        </w:rPr>
        <w:t>rque probable para el ciclo 2013/14</w:t>
      </w:r>
      <w:r w:rsidR="00E95EEC" w:rsidRPr="00E95EEC">
        <w:rPr>
          <w:rFonts w:ascii="Times New Roman" w:hAnsi="Times New Roman" w:cs="Times New Roman"/>
        </w:rPr>
        <w:t xml:space="preserve"> </w:t>
      </w:r>
      <w:r w:rsidRPr="00E95EEC">
        <w:rPr>
          <w:rFonts w:ascii="Times New Roman" w:hAnsi="Times New Roman" w:cs="Times New Roman"/>
        </w:rPr>
        <w:t xml:space="preserve"> (Cuadro 2).</w:t>
      </w:r>
    </w:p>
    <w:p w:rsidR="003468C2" w:rsidRPr="00E95EEC" w:rsidRDefault="000D36E5" w:rsidP="00992771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Cuadro 2: Embarque Cuota Hilton peso producto total del ciclo 2012/13 proyectando</w:t>
      </w:r>
      <w:r w:rsidR="00387E76">
        <w:rPr>
          <w:rFonts w:ascii="Times New Roman" w:hAnsi="Times New Roman" w:cs="Times New Roman"/>
        </w:rPr>
        <w:t xml:space="preserve"> febrero,</w:t>
      </w:r>
      <w:r w:rsidRPr="00E95EEC">
        <w:rPr>
          <w:rFonts w:ascii="Times New Roman" w:hAnsi="Times New Roman" w:cs="Times New Roman"/>
        </w:rPr>
        <w:t xml:space="preserve"> marzo, abril, mayo y Junio </w:t>
      </w:r>
      <w:r w:rsidR="00387E76">
        <w:rPr>
          <w:rFonts w:ascii="Times New Roman" w:hAnsi="Times New Roman" w:cs="Times New Roman"/>
        </w:rPr>
        <w:t xml:space="preserve">de este año </w:t>
      </w:r>
      <w:r w:rsidRPr="00E95EEC">
        <w:rPr>
          <w:rFonts w:ascii="Times New Roman" w:hAnsi="Times New Roman" w:cs="Times New Roman"/>
        </w:rPr>
        <w:t>embarques similares al ciclo anterior.</w:t>
      </w:r>
    </w:p>
    <w:tbl>
      <w:tblPr>
        <w:tblStyle w:val="Tablaconcuadrcula"/>
        <w:tblW w:w="9215" w:type="dxa"/>
        <w:tblInd w:w="-176" w:type="dxa"/>
        <w:tblLook w:val="04A0"/>
      </w:tblPr>
      <w:tblGrid>
        <w:gridCol w:w="1239"/>
        <w:gridCol w:w="576"/>
        <w:gridCol w:w="576"/>
        <w:gridCol w:w="576"/>
        <w:gridCol w:w="626"/>
        <w:gridCol w:w="736"/>
        <w:gridCol w:w="576"/>
        <w:gridCol w:w="721"/>
        <w:gridCol w:w="841"/>
        <w:gridCol w:w="841"/>
        <w:gridCol w:w="608"/>
        <w:gridCol w:w="643"/>
        <w:gridCol w:w="656"/>
      </w:tblGrid>
      <w:tr w:rsidR="001721DB" w:rsidRPr="00E95EEC" w:rsidTr="001721DB">
        <w:tc>
          <w:tcPr>
            <w:tcW w:w="1180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Meses</w:t>
            </w:r>
          </w:p>
        </w:tc>
        <w:tc>
          <w:tcPr>
            <w:tcW w:w="555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Jul-12</w:t>
            </w:r>
          </w:p>
        </w:tc>
        <w:tc>
          <w:tcPr>
            <w:tcW w:w="555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Ag-12</w:t>
            </w:r>
          </w:p>
        </w:tc>
        <w:tc>
          <w:tcPr>
            <w:tcW w:w="556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Set-12</w:t>
            </w:r>
          </w:p>
        </w:tc>
        <w:tc>
          <w:tcPr>
            <w:tcW w:w="603" w:type="dxa"/>
          </w:tcPr>
          <w:p w:rsidR="003468C2" w:rsidRPr="00E95EEC" w:rsidRDefault="003468C2" w:rsidP="00E95EEC">
            <w:pPr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Oct-12</w:t>
            </w:r>
          </w:p>
        </w:tc>
        <w:tc>
          <w:tcPr>
            <w:tcW w:w="707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Nov-12</w:t>
            </w:r>
          </w:p>
        </w:tc>
        <w:tc>
          <w:tcPr>
            <w:tcW w:w="556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Dic-12</w:t>
            </w:r>
          </w:p>
        </w:tc>
        <w:tc>
          <w:tcPr>
            <w:tcW w:w="850" w:type="dxa"/>
          </w:tcPr>
          <w:p w:rsidR="003468C2" w:rsidRPr="00E95EEC" w:rsidRDefault="003468C2" w:rsidP="00E95EEC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En-13</w:t>
            </w:r>
          </w:p>
        </w:tc>
        <w:tc>
          <w:tcPr>
            <w:tcW w:w="768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Febr-13</w:t>
            </w:r>
          </w:p>
        </w:tc>
        <w:tc>
          <w:tcPr>
            <w:tcW w:w="768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Marz-13</w:t>
            </w:r>
          </w:p>
        </w:tc>
        <w:tc>
          <w:tcPr>
            <w:tcW w:w="586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Abril-13</w:t>
            </w:r>
          </w:p>
        </w:tc>
        <w:tc>
          <w:tcPr>
            <w:tcW w:w="619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Mayo-13</w:t>
            </w:r>
          </w:p>
        </w:tc>
        <w:tc>
          <w:tcPr>
            <w:tcW w:w="912" w:type="dxa"/>
          </w:tcPr>
          <w:p w:rsidR="003468C2" w:rsidRPr="00E95EEC" w:rsidRDefault="003468C2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Junio-13</w:t>
            </w:r>
          </w:p>
        </w:tc>
      </w:tr>
      <w:tr w:rsidR="001721DB" w:rsidRPr="00E95EEC" w:rsidTr="001721DB">
        <w:tc>
          <w:tcPr>
            <w:tcW w:w="1180" w:type="dxa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Embarques(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5" w:type="dxa"/>
          </w:tcPr>
          <w:p w:rsidR="004962F8" w:rsidRPr="001721DB" w:rsidRDefault="004962F8" w:rsidP="00CB7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1.544</w:t>
            </w:r>
          </w:p>
        </w:tc>
        <w:tc>
          <w:tcPr>
            <w:tcW w:w="555" w:type="dxa"/>
          </w:tcPr>
          <w:p w:rsidR="004962F8" w:rsidRPr="001721DB" w:rsidRDefault="004962F8" w:rsidP="00CB7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2.077</w:t>
            </w:r>
          </w:p>
        </w:tc>
        <w:tc>
          <w:tcPr>
            <w:tcW w:w="556" w:type="dxa"/>
          </w:tcPr>
          <w:p w:rsidR="004962F8" w:rsidRPr="001721DB" w:rsidRDefault="004962F8" w:rsidP="00CB7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2.014</w:t>
            </w:r>
          </w:p>
        </w:tc>
        <w:tc>
          <w:tcPr>
            <w:tcW w:w="603" w:type="dxa"/>
          </w:tcPr>
          <w:p w:rsidR="004962F8" w:rsidRPr="001721DB" w:rsidRDefault="004962F8" w:rsidP="00CB7177">
            <w:pPr>
              <w:ind w:lef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1.554</w:t>
            </w:r>
          </w:p>
        </w:tc>
        <w:tc>
          <w:tcPr>
            <w:tcW w:w="707" w:type="dxa"/>
          </w:tcPr>
          <w:p w:rsidR="004962F8" w:rsidRPr="001721DB" w:rsidRDefault="004962F8" w:rsidP="00CB7177">
            <w:pPr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1.472</w:t>
            </w:r>
          </w:p>
        </w:tc>
        <w:tc>
          <w:tcPr>
            <w:tcW w:w="556" w:type="dxa"/>
          </w:tcPr>
          <w:p w:rsidR="004962F8" w:rsidRPr="001721DB" w:rsidRDefault="004962F8" w:rsidP="00CB7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1DB">
              <w:rPr>
                <w:rFonts w:ascii="Times New Roman" w:hAnsi="Times New Roman" w:cs="Times New Roman"/>
                <w:sz w:val="16"/>
                <w:szCs w:val="16"/>
              </w:rPr>
              <w:t>1.534</w:t>
            </w:r>
          </w:p>
        </w:tc>
        <w:tc>
          <w:tcPr>
            <w:tcW w:w="850" w:type="dxa"/>
          </w:tcPr>
          <w:p w:rsidR="004962F8" w:rsidRPr="001721DB" w:rsidRDefault="00B20D2F" w:rsidP="00CB7177">
            <w:pPr>
              <w:ind w:lef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1.809</w:t>
            </w:r>
          </w:p>
        </w:tc>
        <w:tc>
          <w:tcPr>
            <w:tcW w:w="768" w:type="dxa"/>
          </w:tcPr>
          <w:p w:rsidR="004962F8" w:rsidRPr="00B20D2F" w:rsidRDefault="00B20D2F" w:rsidP="00E95EEC">
            <w:pPr>
              <w:ind w:left="2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1.565</w:t>
            </w:r>
          </w:p>
        </w:tc>
        <w:tc>
          <w:tcPr>
            <w:tcW w:w="768" w:type="dxa"/>
          </w:tcPr>
          <w:p w:rsidR="004962F8" w:rsidRPr="00B20D2F" w:rsidRDefault="00B20D2F" w:rsidP="00E95EEC">
            <w:pPr>
              <w:ind w:left="2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2F">
              <w:rPr>
                <w:rFonts w:ascii="Times New Roman" w:hAnsi="Times New Roman" w:cs="Times New Roman"/>
                <w:sz w:val="16"/>
                <w:szCs w:val="16"/>
              </w:rPr>
              <w:t>1.458</w:t>
            </w:r>
          </w:p>
        </w:tc>
        <w:tc>
          <w:tcPr>
            <w:tcW w:w="586" w:type="dxa"/>
          </w:tcPr>
          <w:p w:rsidR="004962F8" w:rsidRPr="00E95EEC" w:rsidRDefault="001721DB" w:rsidP="00E95E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1.432</w:t>
            </w:r>
          </w:p>
        </w:tc>
        <w:tc>
          <w:tcPr>
            <w:tcW w:w="619" w:type="dxa"/>
          </w:tcPr>
          <w:p w:rsidR="004962F8" w:rsidRPr="00E95EEC" w:rsidRDefault="001721DB" w:rsidP="00E95E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2.396</w:t>
            </w:r>
          </w:p>
        </w:tc>
        <w:tc>
          <w:tcPr>
            <w:tcW w:w="912" w:type="dxa"/>
          </w:tcPr>
          <w:p w:rsidR="004962F8" w:rsidRPr="00E95EEC" w:rsidRDefault="001721DB" w:rsidP="00E95EE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1.865</w:t>
            </w:r>
          </w:p>
        </w:tc>
      </w:tr>
      <w:tr w:rsidR="004962F8" w:rsidRPr="00E95EEC" w:rsidTr="001721DB">
        <w:tc>
          <w:tcPr>
            <w:tcW w:w="1180" w:type="dxa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Total(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35" w:type="dxa"/>
            <w:gridSpan w:val="12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0D2F">
              <w:rPr>
                <w:rFonts w:ascii="Times New Roman" w:hAnsi="Times New Roman" w:cs="Times New Roman"/>
                <w:sz w:val="16"/>
                <w:szCs w:val="16"/>
              </w:rPr>
              <w:t>0.720</w:t>
            </w:r>
          </w:p>
        </w:tc>
      </w:tr>
      <w:tr w:rsidR="004962F8" w:rsidRPr="00E95EEC" w:rsidTr="001721DB">
        <w:tc>
          <w:tcPr>
            <w:tcW w:w="1180" w:type="dxa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C.Hilton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35" w:type="dxa"/>
            <w:gridSpan w:val="12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</w:p>
        </w:tc>
      </w:tr>
      <w:tr w:rsidR="004962F8" w:rsidRPr="00E95EEC" w:rsidTr="001721DB">
        <w:tc>
          <w:tcPr>
            <w:tcW w:w="1180" w:type="dxa"/>
          </w:tcPr>
          <w:p w:rsidR="004962F8" w:rsidRPr="00E95EEC" w:rsidRDefault="004962F8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EEC">
              <w:rPr>
                <w:rFonts w:ascii="Times New Roman" w:hAnsi="Times New Roman" w:cs="Times New Roman"/>
                <w:sz w:val="16"/>
                <w:szCs w:val="16"/>
              </w:rPr>
              <w:t>Incumplimiento</w:t>
            </w:r>
          </w:p>
          <w:p w:rsidR="004962F8" w:rsidRPr="00E95EEC" w:rsidRDefault="001721DB" w:rsidP="00E9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Ciclo 13/14</w:t>
            </w:r>
            <w:r w:rsidR="004962F8" w:rsidRPr="00E95EE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4962F8" w:rsidRPr="00E95EEC"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 w:rsidR="004962F8" w:rsidRPr="00E95E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35" w:type="dxa"/>
            <w:gridSpan w:val="12"/>
          </w:tcPr>
          <w:p w:rsidR="004962F8" w:rsidRPr="00E95EEC" w:rsidRDefault="00B20D2F" w:rsidP="00E95E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9.280</w:t>
            </w:r>
          </w:p>
        </w:tc>
      </w:tr>
    </w:tbl>
    <w:p w:rsidR="00B20D2F" w:rsidRDefault="00C35286" w:rsidP="00C35286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Elaboración propia con datos del SENASA</w:t>
      </w:r>
    </w:p>
    <w:p w:rsidR="004E6EFE" w:rsidRPr="00E95EEC" w:rsidRDefault="00C35286" w:rsidP="00C35286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 xml:space="preserve">Como podemos apreciar el incumplimiento de la Cuota Hilton </w:t>
      </w:r>
      <w:r w:rsidR="001721DB">
        <w:rPr>
          <w:rFonts w:ascii="Times New Roman" w:hAnsi="Times New Roman" w:cs="Times New Roman"/>
        </w:rPr>
        <w:t>para el actual ciclo se</w:t>
      </w:r>
      <w:r w:rsidR="00B20D2F">
        <w:rPr>
          <w:rFonts w:ascii="Times New Roman" w:hAnsi="Times New Roman" w:cs="Times New Roman"/>
        </w:rPr>
        <w:t>ría como mínimo de 9.280</w:t>
      </w:r>
      <w:r w:rsidR="001721DB">
        <w:rPr>
          <w:rFonts w:ascii="Times New Roman" w:hAnsi="Times New Roman" w:cs="Times New Roman"/>
        </w:rPr>
        <w:t xml:space="preserve"> </w:t>
      </w:r>
      <w:r w:rsidRPr="00E95EEC">
        <w:rPr>
          <w:rFonts w:ascii="Times New Roman" w:hAnsi="Times New Roman" w:cs="Times New Roman"/>
        </w:rPr>
        <w:t xml:space="preserve"> toneladas peso producto.</w:t>
      </w:r>
    </w:p>
    <w:p w:rsidR="00C35286" w:rsidRDefault="00E34218" w:rsidP="0098159A">
      <w:pPr>
        <w:pStyle w:val="Prrafodelista"/>
        <w:numPr>
          <w:ilvl w:val="0"/>
          <w:numId w:val="2"/>
        </w:numPr>
        <w:rPr>
          <w:b/>
        </w:rPr>
      </w:pPr>
      <w:r w:rsidRPr="00E95EEC">
        <w:rPr>
          <w:b/>
        </w:rPr>
        <w:lastRenderedPageBreak/>
        <w:t>¿Cuánto</w:t>
      </w:r>
      <w:r w:rsidR="00C35286" w:rsidRPr="00E95EEC">
        <w:rPr>
          <w:b/>
        </w:rPr>
        <w:t xml:space="preserve"> pierde el país</w:t>
      </w:r>
      <w:r w:rsidRPr="00E95EEC">
        <w:rPr>
          <w:b/>
        </w:rPr>
        <w:t>?</w:t>
      </w:r>
    </w:p>
    <w:p w:rsidR="00540DB5" w:rsidRDefault="00540DB5" w:rsidP="00540DB5">
      <w:pPr>
        <w:pStyle w:val="Prrafodelista"/>
        <w:rPr>
          <w:b/>
        </w:rPr>
      </w:pPr>
    </w:p>
    <w:p w:rsidR="00E34218" w:rsidRPr="00E95EEC" w:rsidRDefault="00B20D2F" w:rsidP="0098159A">
      <w:pPr>
        <w:rPr>
          <w:rFonts w:ascii="Times New Roman" w:hAnsi="Times New Roman" w:cs="Times New Roman"/>
        </w:rPr>
      </w:pPr>
      <w:r w:rsidRPr="0098159A">
        <w:rPr>
          <w:rFonts w:ascii="Times New Roman" w:hAnsi="Times New Roman" w:cs="Times New Roman"/>
        </w:rPr>
        <w:t xml:space="preserve">Por esta falta de cumplimiento </w:t>
      </w:r>
      <w:r w:rsidR="0098159A" w:rsidRPr="0098159A">
        <w:rPr>
          <w:rFonts w:ascii="Times New Roman" w:hAnsi="Times New Roman" w:cs="Times New Roman"/>
        </w:rPr>
        <w:t xml:space="preserve"> el país perderá </w:t>
      </w:r>
      <w:r w:rsidR="00540DB5">
        <w:rPr>
          <w:rFonts w:ascii="Times New Roman" w:hAnsi="Times New Roman" w:cs="Times New Roman"/>
        </w:rPr>
        <w:t xml:space="preserve">ingresos de divisas por </w:t>
      </w:r>
      <w:r w:rsidR="0098159A" w:rsidRPr="0098159A">
        <w:rPr>
          <w:rFonts w:ascii="Times New Roman" w:hAnsi="Times New Roman" w:cs="Times New Roman"/>
        </w:rPr>
        <w:t xml:space="preserve">alrededor de </w:t>
      </w:r>
      <w:r w:rsidR="0098159A">
        <w:rPr>
          <w:rFonts w:ascii="Times New Roman" w:hAnsi="Times New Roman" w:cs="Times New Roman"/>
        </w:rPr>
        <w:t xml:space="preserve">143 millones de dólares </w:t>
      </w:r>
      <w:r w:rsidR="00540DB5">
        <w:rPr>
          <w:rFonts w:ascii="Times New Roman" w:hAnsi="Times New Roman" w:cs="Times New Roman"/>
        </w:rPr>
        <w:t xml:space="preserve">en el año 2014 </w:t>
      </w:r>
      <w:r w:rsidR="0098159A">
        <w:rPr>
          <w:rFonts w:ascii="Times New Roman" w:hAnsi="Times New Roman" w:cs="Times New Roman"/>
        </w:rPr>
        <w:t>(Cuadro 3).</w:t>
      </w:r>
    </w:p>
    <w:p w:rsidR="000D36E5" w:rsidRPr="00E95EEC" w:rsidRDefault="00B660E1" w:rsidP="00992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3</w:t>
      </w:r>
      <w:r w:rsidR="00127FDB" w:rsidRPr="00E95EEC">
        <w:rPr>
          <w:rFonts w:ascii="Times New Roman" w:hAnsi="Times New Roman" w:cs="Times New Roman"/>
        </w:rPr>
        <w:t xml:space="preserve">: Pérdida de ingreso al país por no </w:t>
      </w:r>
      <w:r w:rsidR="00107530">
        <w:rPr>
          <w:rFonts w:ascii="Times New Roman" w:hAnsi="Times New Roman" w:cs="Times New Roman"/>
        </w:rPr>
        <w:t xml:space="preserve">cumplir con la Cuota </w:t>
      </w:r>
      <w:r w:rsidR="00107530" w:rsidRPr="0098159A">
        <w:rPr>
          <w:rFonts w:ascii="Times New Roman" w:hAnsi="Times New Roman" w:cs="Times New Roman"/>
        </w:rPr>
        <w:t>Hilton</w:t>
      </w:r>
      <w:r w:rsidR="00107530">
        <w:rPr>
          <w:rFonts w:ascii="Times New Roman" w:hAnsi="Times New Roman" w:cs="Times New Roman"/>
        </w:rPr>
        <w:t xml:space="preserve"> 2013/14</w:t>
      </w:r>
    </w:p>
    <w:tbl>
      <w:tblPr>
        <w:tblStyle w:val="Tablaconcuadrcula"/>
        <w:tblW w:w="0" w:type="auto"/>
        <w:tblLook w:val="04A0"/>
      </w:tblPr>
      <w:tblGrid>
        <w:gridCol w:w="6204"/>
        <w:gridCol w:w="2440"/>
      </w:tblGrid>
      <w:tr w:rsidR="001A3CD5" w:rsidRPr="00E95EEC" w:rsidTr="001A3CD5">
        <w:tc>
          <w:tcPr>
            <w:tcW w:w="6204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 xml:space="preserve">Precio promedio de la </w:t>
            </w:r>
            <w:proofErr w:type="spellStart"/>
            <w:r w:rsidR="00107530">
              <w:rPr>
                <w:rFonts w:ascii="Times New Roman" w:hAnsi="Times New Roman" w:cs="Times New Roman"/>
              </w:rPr>
              <w:t>C.Hilton</w:t>
            </w:r>
            <w:proofErr w:type="spellEnd"/>
            <w:r w:rsidR="00107530">
              <w:rPr>
                <w:rFonts w:ascii="Times New Roman" w:hAnsi="Times New Roman" w:cs="Times New Roman"/>
              </w:rPr>
              <w:t xml:space="preserve"> </w:t>
            </w:r>
            <w:r w:rsidRPr="00E95EEC">
              <w:rPr>
                <w:rFonts w:ascii="Times New Roman" w:hAnsi="Times New Roman" w:cs="Times New Roman"/>
              </w:rPr>
              <w:t xml:space="preserve"> (U$S/</w:t>
            </w:r>
            <w:proofErr w:type="spellStart"/>
            <w:r w:rsidRPr="00E95EEC">
              <w:rPr>
                <w:rFonts w:ascii="Times New Roman" w:hAnsi="Times New Roman" w:cs="Times New Roman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 xml:space="preserve">             1</w:t>
            </w:r>
            <w:r w:rsidR="0098159A">
              <w:rPr>
                <w:rFonts w:ascii="Times New Roman" w:hAnsi="Times New Roman" w:cs="Times New Roman"/>
              </w:rPr>
              <w:t>5.50</w:t>
            </w:r>
            <w:r w:rsidR="00107530">
              <w:rPr>
                <w:rFonts w:ascii="Times New Roman" w:hAnsi="Times New Roman" w:cs="Times New Roman"/>
              </w:rPr>
              <w:t>0</w:t>
            </w:r>
          </w:p>
        </w:tc>
      </w:tr>
      <w:tr w:rsidR="001A3CD5" w:rsidRPr="00E95EEC" w:rsidTr="001A3CD5">
        <w:tc>
          <w:tcPr>
            <w:tcW w:w="6204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Probable incump</w:t>
            </w:r>
            <w:r w:rsidR="00387E76">
              <w:rPr>
                <w:rFonts w:ascii="Times New Roman" w:hAnsi="Times New Roman" w:cs="Times New Roman"/>
              </w:rPr>
              <w:t xml:space="preserve">limiento </w:t>
            </w:r>
            <w:proofErr w:type="spellStart"/>
            <w:r w:rsidR="00387E76">
              <w:rPr>
                <w:rFonts w:ascii="Times New Roman" w:hAnsi="Times New Roman" w:cs="Times New Roman"/>
              </w:rPr>
              <w:t>C.Hilton</w:t>
            </w:r>
            <w:proofErr w:type="spellEnd"/>
            <w:r w:rsidR="00387E76">
              <w:rPr>
                <w:rFonts w:ascii="Times New Roman" w:hAnsi="Times New Roman" w:cs="Times New Roman"/>
              </w:rPr>
              <w:t xml:space="preserve"> del ciclo 2013</w:t>
            </w:r>
            <w:r w:rsidRPr="00E95EEC">
              <w:rPr>
                <w:rFonts w:ascii="Times New Roman" w:hAnsi="Times New Roman" w:cs="Times New Roman"/>
              </w:rPr>
              <w:t>/1</w:t>
            </w:r>
            <w:r w:rsidR="00387E76">
              <w:rPr>
                <w:rFonts w:ascii="Times New Roman" w:hAnsi="Times New Roman" w:cs="Times New Roman"/>
              </w:rPr>
              <w:t>4</w:t>
            </w:r>
            <w:r w:rsidR="004576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57624">
              <w:rPr>
                <w:rFonts w:ascii="Times New Roman" w:hAnsi="Times New Roman" w:cs="Times New Roman"/>
              </w:rPr>
              <w:t>tn</w:t>
            </w:r>
            <w:proofErr w:type="spellEnd"/>
            <w:r w:rsidR="004576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0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 xml:space="preserve">               </w:t>
            </w:r>
            <w:r w:rsidR="007579B6">
              <w:rPr>
                <w:rFonts w:ascii="Times New Roman" w:hAnsi="Times New Roman" w:cs="Times New Roman"/>
              </w:rPr>
              <w:t>9.280</w:t>
            </w:r>
          </w:p>
        </w:tc>
      </w:tr>
      <w:tr w:rsidR="001A3CD5" w:rsidRPr="00E95EEC" w:rsidTr="001A3CD5">
        <w:tc>
          <w:tcPr>
            <w:tcW w:w="6204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Pérdida de Ingresos al país por incumplimiento Cuota Hilton (U$S)</w:t>
            </w:r>
          </w:p>
        </w:tc>
        <w:tc>
          <w:tcPr>
            <w:tcW w:w="2440" w:type="dxa"/>
          </w:tcPr>
          <w:p w:rsidR="001A3CD5" w:rsidRPr="00E95EEC" w:rsidRDefault="001A3CD5" w:rsidP="00992771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 xml:space="preserve">           1</w:t>
            </w:r>
            <w:r w:rsidR="0098159A">
              <w:rPr>
                <w:rFonts w:ascii="Times New Roman" w:hAnsi="Times New Roman" w:cs="Times New Roman"/>
                <w:color w:val="FF0000"/>
              </w:rPr>
              <w:t>43.840.000</w:t>
            </w:r>
          </w:p>
        </w:tc>
      </w:tr>
    </w:tbl>
    <w:p w:rsidR="00C35286" w:rsidRPr="00E95EEC" w:rsidRDefault="00C35286" w:rsidP="00C35286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Elaboración propia con datos del SENASA</w:t>
      </w:r>
    </w:p>
    <w:p w:rsidR="001A3CD5" w:rsidRPr="00E95EEC" w:rsidRDefault="00A428B2" w:rsidP="00992771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Por último debemos mencionar que fue a partir de la intervención negativa del Go</w:t>
      </w:r>
      <w:r w:rsidR="00E95EEC">
        <w:rPr>
          <w:rFonts w:ascii="Times New Roman" w:hAnsi="Times New Roman" w:cs="Times New Roman"/>
        </w:rPr>
        <w:t>bierno en el mercado cárnico d</w:t>
      </w:r>
      <w:r w:rsidRPr="00E95EEC">
        <w:rPr>
          <w:rFonts w:ascii="Times New Roman" w:hAnsi="Times New Roman" w:cs="Times New Roman"/>
        </w:rPr>
        <w:t xml:space="preserve">el año 2006, </w:t>
      </w:r>
      <w:r w:rsidR="00D05C6D" w:rsidRPr="00E95EEC">
        <w:rPr>
          <w:rFonts w:ascii="Times New Roman" w:hAnsi="Times New Roman" w:cs="Times New Roman"/>
        </w:rPr>
        <w:t>el comienzo de</w:t>
      </w:r>
      <w:r w:rsidRPr="00E95EEC">
        <w:rPr>
          <w:rFonts w:ascii="Times New Roman" w:hAnsi="Times New Roman" w:cs="Times New Roman"/>
        </w:rPr>
        <w:t xml:space="preserve"> esta falta de cumplimi</w:t>
      </w:r>
      <w:r w:rsidR="00B660E1">
        <w:rPr>
          <w:rFonts w:ascii="Times New Roman" w:hAnsi="Times New Roman" w:cs="Times New Roman"/>
        </w:rPr>
        <w:t>ento (Cuadro 4</w:t>
      </w:r>
      <w:r w:rsidR="00FF7822" w:rsidRPr="00E95EEC">
        <w:rPr>
          <w:rFonts w:ascii="Times New Roman" w:hAnsi="Times New Roman" w:cs="Times New Roman"/>
        </w:rPr>
        <w:t>)</w:t>
      </w:r>
      <w:r w:rsidRPr="00E95EEC">
        <w:rPr>
          <w:rFonts w:ascii="Times New Roman" w:hAnsi="Times New Roman" w:cs="Times New Roman"/>
        </w:rPr>
        <w:t>.</w:t>
      </w:r>
      <w:r w:rsidR="00B660E1">
        <w:rPr>
          <w:rFonts w:ascii="Times New Roman" w:hAnsi="Times New Roman" w:cs="Times New Roman"/>
        </w:rPr>
        <w:t xml:space="preserve"> Estos siete</w:t>
      </w:r>
      <w:r w:rsidR="00D05C6D" w:rsidRPr="00E95EEC">
        <w:rPr>
          <w:rFonts w:ascii="Times New Roman" w:hAnsi="Times New Roman" w:cs="Times New Roman"/>
        </w:rPr>
        <w:t xml:space="preserve"> años por esta falta de cumpl</w:t>
      </w:r>
      <w:r w:rsidR="00E95EEC">
        <w:rPr>
          <w:rFonts w:ascii="Times New Roman" w:hAnsi="Times New Roman" w:cs="Times New Roman"/>
        </w:rPr>
        <w:t xml:space="preserve">imiento no ingresaron al país </w:t>
      </w:r>
      <w:r w:rsidR="00D05C6D" w:rsidRPr="00E95EEC">
        <w:rPr>
          <w:rFonts w:ascii="Times New Roman" w:hAnsi="Times New Roman" w:cs="Times New Roman"/>
        </w:rPr>
        <w:t xml:space="preserve"> </w:t>
      </w:r>
      <w:r w:rsidR="00B660E1">
        <w:rPr>
          <w:rFonts w:ascii="Times New Roman" w:hAnsi="Times New Roman" w:cs="Times New Roman"/>
        </w:rPr>
        <w:t>alrededor de 632</w:t>
      </w:r>
      <w:r w:rsidR="00D05C6D" w:rsidRPr="00E95EEC">
        <w:rPr>
          <w:rFonts w:ascii="Times New Roman" w:hAnsi="Times New Roman" w:cs="Times New Roman"/>
        </w:rPr>
        <w:t xml:space="preserve"> millones de dólares.</w:t>
      </w:r>
    </w:p>
    <w:p w:rsidR="00127FDB" w:rsidRPr="00E95EEC" w:rsidRDefault="00B660E1" w:rsidP="00992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4</w:t>
      </w:r>
      <w:r w:rsidR="00127FDB" w:rsidRPr="00E95EEC">
        <w:rPr>
          <w:rFonts w:ascii="Times New Roman" w:hAnsi="Times New Roman" w:cs="Times New Roman"/>
        </w:rPr>
        <w:t>: Historial de no cumplimiento de la Cuota Hilton</w:t>
      </w:r>
    </w:p>
    <w:tbl>
      <w:tblPr>
        <w:tblStyle w:val="Tablaconcuadrcula"/>
        <w:tblW w:w="0" w:type="auto"/>
        <w:tblLook w:val="04A0"/>
      </w:tblPr>
      <w:tblGrid>
        <w:gridCol w:w="1973"/>
        <w:gridCol w:w="1052"/>
        <w:gridCol w:w="888"/>
        <w:gridCol w:w="857"/>
        <w:gridCol w:w="857"/>
        <w:gridCol w:w="962"/>
        <w:gridCol w:w="1053"/>
        <w:gridCol w:w="1078"/>
      </w:tblGrid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Ciclos</w:t>
            </w:r>
          </w:p>
        </w:tc>
        <w:tc>
          <w:tcPr>
            <w:tcW w:w="1060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07/08</w:t>
            </w:r>
          </w:p>
        </w:tc>
        <w:tc>
          <w:tcPr>
            <w:tcW w:w="89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08/09</w:t>
            </w:r>
          </w:p>
        </w:tc>
        <w:tc>
          <w:tcPr>
            <w:tcW w:w="862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09/10</w:t>
            </w:r>
          </w:p>
        </w:tc>
        <w:tc>
          <w:tcPr>
            <w:tcW w:w="862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968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12/13</w:t>
            </w:r>
          </w:p>
        </w:tc>
        <w:tc>
          <w:tcPr>
            <w:tcW w:w="1041" w:type="dxa"/>
          </w:tcPr>
          <w:p w:rsidR="00B660E1" w:rsidRPr="00E95EEC" w:rsidRDefault="00B660E1" w:rsidP="00B6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13/14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Embarques (</w:t>
            </w:r>
            <w:proofErr w:type="spellStart"/>
            <w:r w:rsidRPr="00E95EEC">
              <w:rPr>
                <w:rFonts w:ascii="Times New Roman" w:hAnsi="Times New Roman" w:cs="Times New Roman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24.988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26.002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17.054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25.602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5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18.050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21.935</w:t>
            </w:r>
          </w:p>
        </w:tc>
        <w:tc>
          <w:tcPr>
            <w:tcW w:w="1041" w:type="dxa"/>
          </w:tcPr>
          <w:p w:rsidR="00B660E1" w:rsidRPr="00E95EEC" w:rsidRDefault="00B660E1" w:rsidP="00457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21.426</w:t>
            </w:r>
            <w:r w:rsidR="00457624">
              <w:rPr>
                <w:rFonts w:ascii="Times New Roman" w:hAnsi="Times New Roman" w:cs="Times New Roman"/>
              </w:rPr>
              <w:t>(*)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Cuota adjudicada(</w:t>
            </w:r>
            <w:proofErr w:type="spellStart"/>
            <w:r w:rsidRPr="00E95EEC">
              <w:rPr>
                <w:rFonts w:ascii="Times New Roman" w:hAnsi="Times New Roman" w:cs="Times New Roman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95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29.375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041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Incumplimiento(</w:t>
            </w:r>
            <w:proofErr w:type="spellStart"/>
            <w:r w:rsidRPr="00E95EEC">
              <w:rPr>
                <w:rFonts w:ascii="Times New Roman" w:hAnsi="Times New Roman" w:cs="Times New Roman"/>
                <w:color w:val="FF0000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 xml:space="preserve">  3.012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1.998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10.946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2.398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95"/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11.325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8.065</w:t>
            </w:r>
          </w:p>
        </w:tc>
        <w:tc>
          <w:tcPr>
            <w:tcW w:w="1041" w:type="dxa"/>
          </w:tcPr>
          <w:p w:rsidR="00B660E1" w:rsidRPr="007579B6" w:rsidRDefault="007579B6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9.280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Valor Hilton(U$S/</w:t>
            </w:r>
            <w:proofErr w:type="spellStart"/>
            <w:r w:rsidRPr="00E95EEC">
              <w:rPr>
                <w:rFonts w:ascii="Times New Roman" w:hAnsi="Times New Roman" w:cs="Times New Roman"/>
              </w:rPr>
              <w:t>tn</w:t>
            </w:r>
            <w:proofErr w:type="spellEnd"/>
            <w:r w:rsidRPr="00E95E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10.538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9.880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9.861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13.218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95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16.465</w:t>
            </w:r>
          </w:p>
        </w:tc>
        <w:tc>
          <w:tcPr>
            <w:tcW w:w="1055" w:type="dxa"/>
          </w:tcPr>
          <w:p w:rsidR="00B660E1" w:rsidRPr="00E95EEC" w:rsidRDefault="00B660E1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14.934</w:t>
            </w:r>
          </w:p>
        </w:tc>
        <w:tc>
          <w:tcPr>
            <w:tcW w:w="1041" w:type="dxa"/>
          </w:tcPr>
          <w:p w:rsidR="00B660E1" w:rsidRPr="00E95EEC" w:rsidRDefault="0098159A" w:rsidP="00B660E1">
            <w:pPr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  <w:r w:rsidR="00B660E1">
              <w:rPr>
                <w:rFonts w:ascii="Times New Roman" w:hAnsi="Times New Roman" w:cs="Times New Roman"/>
              </w:rPr>
              <w:t>0</w:t>
            </w:r>
          </w:p>
        </w:tc>
      </w:tr>
      <w:tr w:rsidR="00B660E1" w:rsidRPr="00E95EEC" w:rsidTr="00B660E1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Pérdida de ingreso (Millones de U$S)</w:t>
            </w:r>
          </w:p>
        </w:tc>
        <w:tc>
          <w:tcPr>
            <w:tcW w:w="1060" w:type="dxa"/>
          </w:tcPr>
          <w:p w:rsidR="00B660E1" w:rsidRPr="00E95EEC" w:rsidRDefault="00B660E1" w:rsidP="001A3CD5">
            <w:pPr>
              <w:ind w:left="17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896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107,93</w:t>
            </w:r>
          </w:p>
        </w:tc>
        <w:tc>
          <w:tcPr>
            <w:tcW w:w="862" w:type="dxa"/>
          </w:tcPr>
          <w:p w:rsidR="00B660E1" w:rsidRPr="00E95EEC" w:rsidRDefault="00B660E1" w:rsidP="00127FDB">
            <w:pPr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31,69</w:t>
            </w:r>
          </w:p>
        </w:tc>
        <w:tc>
          <w:tcPr>
            <w:tcW w:w="968" w:type="dxa"/>
          </w:tcPr>
          <w:p w:rsidR="00B660E1" w:rsidRPr="00E95EEC" w:rsidRDefault="00B660E1" w:rsidP="00127FDB">
            <w:pPr>
              <w:ind w:left="95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186,46</w:t>
            </w:r>
          </w:p>
        </w:tc>
        <w:tc>
          <w:tcPr>
            <w:tcW w:w="1055" w:type="dxa"/>
          </w:tcPr>
          <w:p w:rsidR="00B660E1" w:rsidRPr="00E95EEC" w:rsidRDefault="00B660E1" w:rsidP="00127FDB">
            <w:pPr>
              <w:ind w:left="220"/>
              <w:rPr>
                <w:rFonts w:ascii="Times New Roman" w:hAnsi="Times New Roman" w:cs="Times New Roman"/>
              </w:rPr>
            </w:pPr>
            <w:r w:rsidRPr="00E95EEC">
              <w:rPr>
                <w:rFonts w:ascii="Times New Roman" w:hAnsi="Times New Roman" w:cs="Times New Roman"/>
              </w:rPr>
              <w:t>120,17</w:t>
            </w:r>
          </w:p>
        </w:tc>
        <w:tc>
          <w:tcPr>
            <w:tcW w:w="1041" w:type="dxa"/>
          </w:tcPr>
          <w:p w:rsidR="00B660E1" w:rsidRPr="00E95EEC" w:rsidRDefault="00B660E1" w:rsidP="00127FDB">
            <w:pPr>
              <w:ind w:lef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159A">
              <w:rPr>
                <w:rFonts w:ascii="Times New Roman" w:hAnsi="Times New Roman" w:cs="Times New Roman"/>
              </w:rPr>
              <w:t>43,84</w:t>
            </w:r>
          </w:p>
        </w:tc>
      </w:tr>
      <w:tr w:rsidR="00B660E1" w:rsidRPr="00E95EEC" w:rsidTr="00934D7D">
        <w:tc>
          <w:tcPr>
            <w:tcW w:w="1976" w:type="dxa"/>
          </w:tcPr>
          <w:p w:rsidR="00B660E1" w:rsidRPr="00E95EEC" w:rsidRDefault="00B660E1" w:rsidP="003C439A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>Pérdida de ingresos  totales  (U$S)</w:t>
            </w:r>
          </w:p>
        </w:tc>
        <w:tc>
          <w:tcPr>
            <w:tcW w:w="6744" w:type="dxa"/>
            <w:gridSpan w:val="7"/>
          </w:tcPr>
          <w:p w:rsidR="00B660E1" w:rsidRPr="00E95EEC" w:rsidRDefault="00B660E1" w:rsidP="00B660E1">
            <w:pPr>
              <w:rPr>
                <w:rFonts w:ascii="Times New Roman" w:hAnsi="Times New Roman" w:cs="Times New Roman"/>
                <w:color w:val="FF0000"/>
              </w:rPr>
            </w:pPr>
            <w:r w:rsidRPr="00E95EEC">
              <w:rPr>
                <w:rFonts w:ascii="Times New Roman" w:hAnsi="Times New Roman" w:cs="Times New Roman"/>
                <w:color w:val="FF0000"/>
              </w:rPr>
              <w:t xml:space="preserve">                                       </w:t>
            </w:r>
            <w:r w:rsidR="0098159A">
              <w:rPr>
                <w:rFonts w:ascii="Times New Roman" w:hAnsi="Times New Roman" w:cs="Times New Roman"/>
                <w:color w:val="FF0000"/>
              </w:rPr>
              <w:t>641.57</w:t>
            </w:r>
            <w:r>
              <w:rPr>
                <w:rFonts w:ascii="Times New Roman" w:hAnsi="Times New Roman" w:cs="Times New Roman"/>
                <w:color w:val="FF0000"/>
              </w:rPr>
              <w:t>0.000</w:t>
            </w:r>
          </w:p>
        </w:tc>
      </w:tr>
    </w:tbl>
    <w:p w:rsidR="00C35286" w:rsidRDefault="00C35286" w:rsidP="00C35286">
      <w:pPr>
        <w:rPr>
          <w:rFonts w:ascii="Times New Roman" w:hAnsi="Times New Roman" w:cs="Times New Roman"/>
        </w:rPr>
      </w:pPr>
      <w:r w:rsidRPr="00E95EEC">
        <w:rPr>
          <w:rFonts w:ascii="Times New Roman" w:hAnsi="Times New Roman" w:cs="Times New Roman"/>
        </w:rPr>
        <w:t>Elaboración propia con datos del SENASA</w:t>
      </w:r>
    </w:p>
    <w:p w:rsidR="00457624" w:rsidRPr="00E95EEC" w:rsidRDefault="00457624" w:rsidP="00C35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Estimado</w:t>
      </w:r>
    </w:p>
    <w:p w:rsidR="00702F1A" w:rsidRPr="00E95EEC" w:rsidRDefault="00540DB5" w:rsidP="001A3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02F1A" w:rsidRPr="00E95EEC" w:rsidSect="008E6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0784"/>
    <w:multiLevelType w:val="hybridMultilevel"/>
    <w:tmpl w:val="90E4F7E0"/>
    <w:lvl w:ilvl="0" w:tplc="4E487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84A16"/>
    <w:multiLevelType w:val="hybridMultilevel"/>
    <w:tmpl w:val="AB601F92"/>
    <w:lvl w:ilvl="0" w:tplc="A396439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771"/>
    <w:rsid w:val="00000ADB"/>
    <w:rsid w:val="00005069"/>
    <w:rsid w:val="00011401"/>
    <w:rsid w:val="00014BB1"/>
    <w:rsid w:val="000170FD"/>
    <w:rsid w:val="000223B5"/>
    <w:rsid w:val="00023D6F"/>
    <w:rsid w:val="00024A13"/>
    <w:rsid w:val="00024A39"/>
    <w:rsid w:val="0002661C"/>
    <w:rsid w:val="00027A0E"/>
    <w:rsid w:val="000305F8"/>
    <w:rsid w:val="00032F72"/>
    <w:rsid w:val="00034304"/>
    <w:rsid w:val="00036606"/>
    <w:rsid w:val="00037757"/>
    <w:rsid w:val="00041FC0"/>
    <w:rsid w:val="0004459B"/>
    <w:rsid w:val="00045F42"/>
    <w:rsid w:val="00047EB9"/>
    <w:rsid w:val="00050629"/>
    <w:rsid w:val="00051B99"/>
    <w:rsid w:val="00051D67"/>
    <w:rsid w:val="000548BB"/>
    <w:rsid w:val="00062A24"/>
    <w:rsid w:val="00064D39"/>
    <w:rsid w:val="00073F1E"/>
    <w:rsid w:val="00074734"/>
    <w:rsid w:val="00075819"/>
    <w:rsid w:val="0007591B"/>
    <w:rsid w:val="00080C59"/>
    <w:rsid w:val="000840E1"/>
    <w:rsid w:val="00085E93"/>
    <w:rsid w:val="00090544"/>
    <w:rsid w:val="00091586"/>
    <w:rsid w:val="000A04FE"/>
    <w:rsid w:val="000A0EA7"/>
    <w:rsid w:val="000A1541"/>
    <w:rsid w:val="000A29A4"/>
    <w:rsid w:val="000A2ED7"/>
    <w:rsid w:val="000A33CB"/>
    <w:rsid w:val="000A4DBB"/>
    <w:rsid w:val="000B0224"/>
    <w:rsid w:val="000B4355"/>
    <w:rsid w:val="000C2E63"/>
    <w:rsid w:val="000C3443"/>
    <w:rsid w:val="000C56CB"/>
    <w:rsid w:val="000C66DE"/>
    <w:rsid w:val="000D00D0"/>
    <w:rsid w:val="000D1534"/>
    <w:rsid w:val="000D303A"/>
    <w:rsid w:val="000D3116"/>
    <w:rsid w:val="000D36E5"/>
    <w:rsid w:val="000D5EEC"/>
    <w:rsid w:val="000E0358"/>
    <w:rsid w:val="000E0694"/>
    <w:rsid w:val="000E2FF6"/>
    <w:rsid w:val="000E39B8"/>
    <w:rsid w:val="000E3A9A"/>
    <w:rsid w:val="000E4F55"/>
    <w:rsid w:val="000F2414"/>
    <w:rsid w:val="000F2A34"/>
    <w:rsid w:val="000F2E60"/>
    <w:rsid w:val="000F336B"/>
    <w:rsid w:val="000F4D75"/>
    <w:rsid w:val="000F74B5"/>
    <w:rsid w:val="000F7648"/>
    <w:rsid w:val="001002B0"/>
    <w:rsid w:val="00101805"/>
    <w:rsid w:val="00104269"/>
    <w:rsid w:val="00107530"/>
    <w:rsid w:val="00107BA0"/>
    <w:rsid w:val="001108A4"/>
    <w:rsid w:val="001138FE"/>
    <w:rsid w:val="00113CFF"/>
    <w:rsid w:val="00114926"/>
    <w:rsid w:val="00121D75"/>
    <w:rsid w:val="00123AC4"/>
    <w:rsid w:val="001240C9"/>
    <w:rsid w:val="00125B2D"/>
    <w:rsid w:val="001268D1"/>
    <w:rsid w:val="001275FE"/>
    <w:rsid w:val="001279E5"/>
    <w:rsid w:val="00127AAE"/>
    <w:rsid w:val="00127FDB"/>
    <w:rsid w:val="0013248B"/>
    <w:rsid w:val="00132CEF"/>
    <w:rsid w:val="0013427E"/>
    <w:rsid w:val="00135204"/>
    <w:rsid w:val="0014012A"/>
    <w:rsid w:val="00141B4A"/>
    <w:rsid w:val="00143069"/>
    <w:rsid w:val="0014331B"/>
    <w:rsid w:val="001437C9"/>
    <w:rsid w:val="00152A8B"/>
    <w:rsid w:val="00153920"/>
    <w:rsid w:val="00154A06"/>
    <w:rsid w:val="00162ADB"/>
    <w:rsid w:val="00164131"/>
    <w:rsid w:val="001643F3"/>
    <w:rsid w:val="00166BEB"/>
    <w:rsid w:val="001676D6"/>
    <w:rsid w:val="0017159E"/>
    <w:rsid w:val="001721DB"/>
    <w:rsid w:val="00175059"/>
    <w:rsid w:val="00176BF5"/>
    <w:rsid w:val="00181FEE"/>
    <w:rsid w:val="00182031"/>
    <w:rsid w:val="0018438F"/>
    <w:rsid w:val="00186D99"/>
    <w:rsid w:val="0018725A"/>
    <w:rsid w:val="00190446"/>
    <w:rsid w:val="0019322A"/>
    <w:rsid w:val="001937E1"/>
    <w:rsid w:val="00193C30"/>
    <w:rsid w:val="001964DA"/>
    <w:rsid w:val="00197AAF"/>
    <w:rsid w:val="001A0C6C"/>
    <w:rsid w:val="001A3CD5"/>
    <w:rsid w:val="001A6FD2"/>
    <w:rsid w:val="001B36DE"/>
    <w:rsid w:val="001B5E3F"/>
    <w:rsid w:val="001B65C3"/>
    <w:rsid w:val="001B6C13"/>
    <w:rsid w:val="001C1075"/>
    <w:rsid w:val="001C1780"/>
    <w:rsid w:val="001C2013"/>
    <w:rsid w:val="001C2675"/>
    <w:rsid w:val="001D29DD"/>
    <w:rsid w:val="001D38DD"/>
    <w:rsid w:val="001D513D"/>
    <w:rsid w:val="001E3420"/>
    <w:rsid w:val="001E3BF7"/>
    <w:rsid w:val="001E41D8"/>
    <w:rsid w:val="001F2B70"/>
    <w:rsid w:val="001F4A5D"/>
    <w:rsid w:val="001F626B"/>
    <w:rsid w:val="00200C0A"/>
    <w:rsid w:val="0020105A"/>
    <w:rsid w:val="00201DE4"/>
    <w:rsid w:val="00202A40"/>
    <w:rsid w:val="00203F96"/>
    <w:rsid w:val="00206B16"/>
    <w:rsid w:val="00206C4B"/>
    <w:rsid w:val="00211962"/>
    <w:rsid w:val="0021310A"/>
    <w:rsid w:val="002146F2"/>
    <w:rsid w:val="002158B9"/>
    <w:rsid w:val="00217102"/>
    <w:rsid w:val="002203A5"/>
    <w:rsid w:val="00220F55"/>
    <w:rsid w:val="0022320D"/>
    <w:rsid w:val="002254DB"/>
    <w:rsid w:val="00231247"/>
    <w:rsid w:val="002320C5"/>
    <w:rsid w:val="0024088D"/>
    <w:rsid w:val="0024419F"/>
    <w:rsid w:val="00244642"/>
    <w:rsid w:val="002446B0"/>
    <w:rsid w:val="00245DC9"/>
    <w:rsid w:val="002469AF"/>
    <w:rsid w:val="002471ED"/>
    <w:rsid w:val="0024753E"/>
    <w:rsid w:val="002506BC"/>
    <w:rsid w:val="0025095C"/>
    <w:rsid w:val="00251A44"/>
    <w:rsid w:val="00252799"/>
    <w:rsid w:val="00253D7D"/>
    <w:rsid w:val="00253FC3"/>
    <w:rsid w:val="00261C28"/>
    <w:rsid w:val="00262A68"/>
    <w:rsid w:val="002674AB"/>
    <w:rsid w:val="00273040"/>
    <w:rsid w:val="00273A0B"/>
    <w:rsid w:val="00275AB6"/>
    <w:rsid w:val="00282A04"/>
    <w:rsid w:val="00285CE7"/>
    <w:rsid w:val="002863F0"/>
    <w:rsid w:val="002911FF"/>
    <w:rsid w:val="00291696"/>
    <w:rsid w:val="0029229F"/>
    <w:rsid w:val="002929F5"/>
    <w:rsid w:val="00293809"/>
    <w:rsid w:val="00294CC4"/>
    <w:rsid w:val="00294DD3"/>
    <w:rsid w:val="00294F59"/>
    <w:rsid w:val="00296A59"/>
    <w:rsid w:val="00296B57"/>
    <w:rsid w:val="002A07F0"/>
    <w:rsid w:val="002A41EC"/>
    <w:rsid w:val="002A59CE"/>
    <w:rsid w:val="002A65C4"/>
    <w:rsid w:val="002B2C8D"/>
    <w:rsid w:val="002B31CB"/>
    <w:rsid w:val="002B360D"/>
    <w:rsid w:val="002B40E2"/>
    <w:rsid w:val="002B47D7"/>
    <w:rsid w:val="002B767F"/>
    <w:rsid w:val="002B76F7"/>
    <w:rsid w:val="002B7B6E"/>
    <w:rsid w:val="002C21C4"/>
    <w:rsid w:val="002C25F0"/>
    <w:rsid w:val="002C2D4A"/>
    <w:rsid w:val="002C37AB"/>
    <w:rsid w:val="002C409B"/>
    <w:rsid w:val="002C43ED"/>
    <w:rsid w:val="002C54E3"/>
    <w:rsid w:val="002C7476"/>
    <w:rsid w:val="002D2AFE"/>
    <w:rsid w:val="002D2BF6"/>
    <w:rsid w:val="002D57FA"/>
    <w:rsid w:val="002D5F5F"/>
    <w:rsid w:val="002D6466"/>
    <w:rsid w:val="002E120B"/>
    <w:rsid w:val="002E1D87"/>
    <w:rsid w:val="002F0374"/>
    <w:rsid w:val="002F563C"/>
    <w:rsid w:val="00300D67"/>
    <w:rsid w:val="00300E28"/>
    <w:rsid w:val="003036D2"/>
    <w:rsid w:val="003045D9"/>
    <w:rsid w:val="00304CEB"/>
    <w:rsid w:val="003060B5"/>
    <w:rsid w:val="00311EF1"/>
    <w:rsid w:val="00312805"/>
    <w:rsid w:val="00312ACF"/>
    <w:rsid w:val="00313DD3"/>
    <w:rsid w:val="00314B80"/>
    <w:rsid w:val="00321555"/>
    <w:rsid w:val="003221E3"/>
    <w:rsid w:val="003223E1"/>
    <w:rsid w:val="00324F9C"/>
    <w:rsid w:val="00326CD1"/>
    <w:rsid w:val="0033019F"/>
    <w:rsid w:val="00332191"/>
    <w:rsid w:val="003409CD"/>
    <w:rsid w:val="00340C2B"/>
    <w:rsid w:val="003414D5"/>
    <w:rsid w:val="00344FED"/>
    <w:rsid w:val="003468C2"/>
    <w:rsid w:val="003543B6"/>
    <w:rsid w:val="00356146"/>
    <w:rsid w:val="003628F2"/>
    <w:rsid w:val="003638E8"/>
    <w:rsid w:val="00363D2B"/>
    <w:rsid w:val="00363F73"/>
    <w:rsid w:val="00364E2D"/>
    <w:rsid w:val="003654D7"/>
    <w:rsid w:val="0037189B"/>
    <w:rsid w:val="00372F55"/>
    <w:rsid w:val="003733E9"/>
    <w:rsid w:val="00374885"/>
    <w:rsid w:val="00380097"/>
    <w:rsid w:val="0038186A"/>
    <w:rsid w:val="00382FE2"/>
    <w:rsid w:val="003836C4"/>
    <w:rsid w:val="003838FD"/>
    <w:rsid w:val="003840EC"/>
    <w:rsid w:val="00387631"/>
    <w:rsid w:val="00387E76"/>
    <w:rsid w:val="00387F81"/>
    <w:rsid w:val="00391EAA"/>
    <w:rsid w:val="003923E3"/>
    <w:rsid w:val="00393A23"/>
    <w:rsid w:val="003A0334"/>
    <w:rsid w:val="003A0A27"/>
    <w:rsid w:val="003A11F6"/>
    <w:rsid w:val="003A307B"/>
    <w:rsid w:val="003B1E31"/>
    <w:rsid w:val="003B4100"/>
    <w:rsid w:val="003B76EF"/>
    <w:rsid w:val="003C1617"/>
    <w:rsid w:val="003C4BB9"/>
    <w:rsid w:val="003C6518"/>
    <w:rsid w:val="003D0D58"/>
    <w:rsid w:val="003D4F7A"/>
    <w:rsid w:val="003E509A"/>
    <w:rsid w:val="003E6450"/>
    <w:rsid w:val="003E6555"/>
    <w:rsid w:val="003E75D9"/>
    <w:rsid w:val="003F2935"/>
    <w:rsid w:val="003F3D33"/>
    <w:rsid w:val="003F4676"/>
    <w:rsid w:val="003F51DF"/>
    <w:rsid w:val="003F5AA4"/>
    <w:rsid w:val="003F7CAF"/>
    <w:rsid w:val="00403E78"/>
    <w:rsid w:val="0040467F"/>
    <w:rsid w:val="00411FB2"/>
    <w:rsid w:val="00412460"/>
    <w:rsid w:val="00414716"/>
    <w:rsid w:val="004151B5"/>
    <w:rsid w:val="00417382"/>
    <w:rsid w:val="004179CF"/>
    <w:rsid w:val="0042252E"/>
    <w:rsid w:val="00423E74"/>
    <w:rsid w:val="00424759"/>
    <w:rsid w:val="004248C8"/>
    <w:rsid w:val="004260BD"/>
    <w:rsid w:val="00426DB9"/>
    <w:rsid w:val="00434490"/>
    <w:rsid w:val="0043534A"/>
    <w:rsid w:val="0043555F"/>
    <w:rsid w:val="004357B4"/>
    <w:rsid w:val="00436766"/>
    <w:rsid w:val="004401D5"/>
    <w:rsid w:val="004406AB"/>
    <w:rsid w:val="00442981"/>
    <w:rsid w:val="004456FA"/>
    <w:rsid w:val="00446DB1"/>
    <w:rsid w:val="00447378"/>
    <w:rsid w:val="004478E1"/>
    <w:rsid w:val="00451F44"/>
    <w:rsid w:val="00452C78"/>
    <w:rsid w:val="0045361D"/>
    <w:rsid w:val="00457624"/>
    <w:rsid w:val="00457D35"/>
    <w:rsid w:val="004636D8"/>
    <w:rsid w:val="00463BE7"/>
    <w:rsid w:val="00464EB8"/>
    <w:rsid w:val="0046573F"/>
    <w:rsid w:val="004673B7"/>
    <w:rsid w:val="00471E93"/>
    <w:rsid w:val="00471F40"/>
    <w:rsid w:val="004759E4"/>
    <w:rsid w:val="00475F3E"/>
    <w:rsid w:val="004769C7"/>
    <w:rsid w:val="0048006B"/>
    <w:rsid w:val="004807B3"/>
    <w:rsid w:val="004877D5"/>
    <w:rsid w:val="004931EE"/>
    <w:rsid w:val="00493AD3"/>
    <w:rsid w:val="004962F8"/>
    <w:rsid w:val="0049738B"/>
    <w:rsid w:val="004A033A"/>
    <w:rsid w:val="004A03CA"/>
    <w:rsid w:val="004A0B09"/>
    <w:rsid w:val="004A1112"/>
    <w:rsid w:val="004A36F4"/>
    <w:rsid w:val="004A3B0D"/>
    <w:rsid w:val="004A420E"/>
    <w:rsid w:val="004A72E1"/>
    <w:rsid w:val="004B0AB6"/>
    <w:rsid w:val="004B1E5F"/>
    <w:rsid w:val="004C2835"/>
    <w:rsid w:val="004C5DE3"/>
    <w:rsid w:val="004C7BAB"/>
    <w:rsid w:val="004D3927"/>
    <w:rsid w:val="004D62D7"/>
    <w:rsid w:val="004E05E8"/>
    <w:rsid w:val="004E16E1"/>
    <w:rsid w:val="004E275D"/>
    <w:rsid w:val="004E46D7"/>
    <w:rsid w:val="004E54DC"/>
    <w:rsid w:val="004E63E3"/>
    <w:rsid w:val="004E6EFE"/>
    <w:rsid w:val="004F20DF"/>
    <w:rsid w:val="004F458D"/>
    <w:rsid w:val="004F5481"/>
    <w:rsid w:val="004F5B3B"/>
    <w:rsid w:val="004F73C5"/>
    <w:rsid w:val="004F76E6"/>
    <w:rsid w:val="00504A0A"/>
    <w:rsid w:val="00506D4C"/>
    <w:rsid w:val="005074C4"/>
    <w:rsid w:val="005104CB"/>
    <w:rsid w:val="00513F19"/>
    <w:rsid w:val="005143D4"/>
    <w:rsid w:val="0051493D"/>
    <w:rsid w:val="00515B4F"/>
    <w:rsid w:val="00516525"/>
    <w:rsid w:val="00517F47"/>
    <w:rsid w:val="00520A2E"/>
    <w:rsid w:val="005215C6"/>
    <w:rsid w:val="00525BCD"/>
    <w:rsid w:val="005263CA"/>
    <w:rsid w:val="005364BC"/>
    <w:rsid w:val="00540C64"/>
    <w:rsid w:val="00540DB5"/>
    <w:rsid w:val="00540F0B"/>
    <w:rsid w:val="00542135"/>
    <w:rsid w:val="005447B5"/>
    <w:rsid w:val="00546405"/>
    <w:rsid w:val="00546AC1"/>
    <w:rsid w:val="00552D5B"/>
    <w:rsid w:val="0055373A"/>
    <w:rsid w:val="00556985"/>
    <w:rsid w:val="0055749B"/>
    <w:rsid w:val="00561E0E"/>
    <w:rsid w:val="00563CA6"/>
    <w:rsid w:val="00564124"/>
    <w:rsid w:val="00572E4A"/>
    <w:rsid w:val="00573027"/>
    <w:rsid w:val="00577736"/>
    <w:rsid w:val="0058071A"/>
    <w:rsid w:val="00582EFB"/>
    <w:rsid w:val="00583E8A"/>
    <w:rsid w:val="00584914"/>
    <w:rsid w:val="00584B8C"/>
    <w:rsid w:val="00584CFD"/>
    <w:rsid w:val="005901BF"/>
    <w:rsid w:val="00592932"/>
    <w:rsid w:val="005930A1"/>
    <w:rsid w:val="00594146"/>
    <w:rsid w:val="00596561"/>
    <w:rsid w:val="00596D10"/>
    <w:rsid w:val="005A21E1"/>
    <w:rsid w:val="005A2426"/>
    <w:rsid w:val="005A2AEF"/>
    <w:rsid w:val="005A398A"/>
    <w:rsid w:val="005A4E02"/>
    <w:rsid w:val="005A60F2"/>
    <w:rsid w:val="005B005D"/>
    <w:rsid w:val="005B0570"/>
    <w:rsid w:val="005B061A"/>
    <w:rsid w:val="005B1A09"/>
    <w:rsid w:val="005B22D2"/>
    <w:rsid w:val="005C1526"/>
    <w:rsid w:val="005C25CA"/>
    <w:rsid w:val="005C4DB0"/>
    <w:rsid w:val="005C4E81"/>
    <w:rsid w:val="005C62D1"/>
    <w:rsid w:val="005D4761"/>
    <w:rsid w:val="005D7562"/>
    <w:rsid w:val="005D7724"/>
    <w:rsid w:val="005D781D"/>
    <w:rsid w:val="005D7F51"/>
    <w:rsid w:val="005E0164"/>
    <w:rsid w:val="005E375F"/>
    <w:rsid w:val="005E37BA"/>
    <w:rsid w:val="005E6A82"/>
    <w:rsid w:val="005E753F"/>
    <w:rsid w:val="005F07D4"/>
    <w:rsid w:val="005F2945"/>
    <w:rsid w:val="005F6F9A"/>
    <w:rsid w:val="005F718B"/>
    <w:rsid w:val="006003D5"/>
    <w:rsid w:val="0060050C"/>
    <w:rsid w:val="00600812"/>
    <w:rsid w:val="006026CC"/>
    <w:rsid w:val="00602833"/>
    <w:rsid w:val="00602B8D"/>
    <w:rsid w:val="00604B59"/>
    <w:rsid w:val="00604C27"/>
    <w:rsid w:val="006066DC"/>
    <w:rsid w:val="006076AF"/>
    <w:rsid w:val="006132BC"/>
    <w:rsid w:val="00617986"/>
    <w:rsid w:val="00622045"/>
    <w:rsid w:val="00623A78"/>
    <w:rsid w:val="00623B77"/>
    <w:rsid w:val="00623C3D"/>
    <w:rsid w:val="006269B0"/>
    <w:rsid w:val="00630289"/>
    <w:rsid w:val="00631954"/>
    <w:rsid w:val="006343F8"/>
    <w:rsid w:val="0063443F"/>
    <w:rsid w:val="006402B5"/>
    <w:rsid w:val="00640C9B"/>
    <w:rsid w:val="00641991"/>
    <w:rsid w:val="006467EC"/>
    <w:rsid w:val="00647EB2"/>
    <w:rsid w:val="00654BD1"/>
    <w:rsid w:val="0065637C"/>
    <w:rsid w:val="00662DF4"/>
    <w:rsid w:val="00663778"/>
    <w:rsid w:val="006638DB"/>
    <w:rsid w:val="00665504"/>
    <w:rsid w:val="00670FC4"/>
    <w:rsid w:val="0067110C"/>
    <w:rsid w:val="00673165"/>
    <w:rsid w:val="00673665"/>
    <w:rsid w:val="00675EA1"/>
    <w:rsid w:val="006808D3"/>
    <w:rsid w:val="006809D3"/>
    <w:rsid w:val="00680B8E"/>
    <w:rsid w:val="0068134A"/>
    <w:rsid w:val="00682897"/>
    <w:rsid w:val="00687257"/>
    <w:rsid w:val="00687C17"/>
    <w:rsid w:val="00690383"/>
    <w:rsid w:val="00691D9C"/>
    <w:rsid w:val="00693435"/>
    <w:rsid w:val="00693891"/>
    <w:rsid w:val="0069403C"/>
    <w:rsid w:val="00696575"/>
    <w:rsid w:val="00696941"/>
    <w:rsid w:val="006A0E73"/>
    <w:rsid w:val="006A1736"/>
    <w:rsid w:val="006A7561"/>
    <w:rsid w:val="006B45A7"/>
    <w:rsid w:val="006B71A0"/>
    <w:rsid w:val="006C17A6"/>
    <w:rsid w:val="006C6615"/>
    <w:rsid w:val="006C7286"/>
    <w:rsid w:val="006C74C4"/>
    <w:rsid w:val="006C764E"/>
    <w:rsid w:val="006D22A8"/>
    <w:rsid w:val="006D2BC9"/>
    <w:rsid w:val="006E0DAC"/>
    <w:rsid w:val="006E1CE0"/>
    <w:rsid w:val="006E35E4"/>
    <w:rsid w:val="006F06AE"/>
    <w:rsid w:val="007023C8"/>
    <w:rsid w:val="007025C4"/>
    <w:rsid w:val="00702F1A"/>
    <w:rsid w:val="0070375C"/>
    <w:rsid w:val="0070449D"/>
    <w:rsid w:val="0070734B"/>
    <w:rsid w:val="007073E2"/>
    <w:rsid w:val="0070789B"/>
    <w:rsid w:val="0071011D"/>
    <w:rsid w:val="007119BB"/>
    <w:rsid w:val="00717D67"/>
    <w:rsid w:val="0072146F"/>
    <w:rsid w:val="00722397"/>
    <w:rsid w:val="00723BFF"/>
    <w:rsid w:val="0072589D"/>
    <w:rsid w:val="00725FFE"/>
    <w:rsid w:val="00732E66"/>
    <w:rsid w:val="00733BE3"/>
    <w:rsid w:val="00734D61"/>
    <w:rsid w:val="00735BAC"/>
    <w:rsid w:val="00740F46"/>
    <w:rsid w:val="007415B0"/>
    <w:rsid w:val="00743B2B"/>
    <w:rsid w:val="00745FE3"/>
    <w:rsid w:val="00747530"/>
    <w:rsid w:val="00747C75"/>
    <w:rsid w:val="0075123B"/>
    <w:rsid w:val="00754BC6"/>
    <w:rsid w:val="007558F3"/>
    <w:rsid w:val="007579B6"/>
    <w:rsid w:val="00765B78"/>
    <w:rsid w:val="00767AF1"/>
    <w:rsid w:val="00771AD8"/>
    <w:rsid w:val="00774A7A"/>
    <w:rsid w:val="00785181"/>
    <w:rsid w:val="00785907"/>
    <w:rsid w:val="00786B14"/>
    <w:rsid w:val="00786DA5"/>
    <w:rsid w:val="00792980"/>
    <w:rsid w:val="00795A86"/>
    <w:rsid w:val="007A19E1"/>
    <w:rsid w:val="007A1C76"/>
    <w:rsid w:val="007A1EF7"/>
    <w:rsid w:val="007A21FC"/>
    <w:rsid w:val="007A26A5"/>
    <w:rsid w:val="007A26E5"/>
    <w:rsid w:val="007A44F6"/>
    <w:rsid w:val="007A731D"/>
    <w:rsid w:val="007B06CF"/>
    <w:rsid w:val="007B08B2"/>
    <w:rsid w:val="007B0D66"/>
    <w:rsid w:val="007B11B0"/>
    <w:rsid w:val="007B3736"/>
    <w:rsid w:val="007B398F"/>
    <w:rsid w:val="007B7645"/>
    <w:rsid w:val="007B7912"/>
    <w:rsid w:val="007C1B84"/>
    <w:rsid w:val="007C3B80"/>
    <w:rsid w:val="007C49E9"/>
    <w:rsid w:val="007C52A5"/>
    <w:rsid w:val="007C64BC"/>
    <w:rsid w:val="007C71CA"/>
    <w:rsid w:val="007D0E33"/>
    <w:rsid w:val="007D250C"/>
    <w:rsid w:val="007D392A"/>
    <w:rsid w:val="007D3B2A"/>
    <w:rsid w:val="007E3BA6"/>
    <w:rsid w:val="007E4631"/>
    <w:rsid w:val="007F00F0"/>
    <w:rsid w:val="007F080C"/>
    <w:rsid w:val="007F3D2A"/>
    <w:rsid w:val="007F407F"/>
    <w:rsid w:val="00800C7E"/>
    <w:rsid w:val="00801697"/>
    <w:rsid w:val="0080262D"/>
    <w:rsid w:val="00805783"/>
    <w:rsid w:val="00806579"/>
    <w:rsid w:val="008116C3"/>
    <w:rsid w:val="00811EF4"/>
    <w:rsid w:val="00815345"/>
    <w:rsid w:val="0081638C"/>
    <w:rsid w:val="00816D8C"/>
    <w:rsid w:val="008204CA"/>
    <w:rsid w:val="00820FE3"/>
    <w:rsid w:val="0082108A"/>
    <w:rsid w:val="0082470E"/>
    <w:rsid w:val="00830D29"/>
    <w:rsid w:val="008310D2"/>
    <w:rsid w:val="00833C8C"/>
    <w:rsid w:val="00836D58"/>
    <w:rsid w:val="0084049A"/>
    <w:rsid w:val="00843D6F"/>
    <w:rsid w:val="0084520A"/>
    <w:rsid w:val="00855A84"/>
    <w:rsid w:val="008631A1"/>
    <w:rsid w:val="00863B3E"/>
    <w:rsid w:val="0086759E"/>
    <w:rsid w:val="008724EC"/>
    <w:rsid w:val="00874E16"/>
    <w:rsid w:val="00876314"/>
    <w:rsid w:val="00883D9C"/>
    <w:rsid w:val="0088611C"/>
    <w:rsid w:val="00886C40"/>
    <w:rsid w:val="008876D1"/>
    <w:rsid w:val="00893C65"/>
    <w:rsid w:val="008979C1"/>
    <w:rsid w:val="008A0241"/>
    <w:rsid w:val="008A539A"/>
    <w:rsid w:val="008A5D79"/>
    <w:rsid w:val="008A5DFF"/>
    <w:rsid w:val="008A6B82"/>
    <w:rsid w:val="008A7688"/>
    <w:rsid w:val="008A7A52"/>
    <w:rsid w:val="008B1342"/>
    <w:rsid w:val="008B5075"/>
    <w:rsid w:val="008B5106"/>
    <w:rsid w:val="008B5E9F"/>
    <w:rsid w:val="008B610A"/>
    <w:rsid w:val="008B7A79"/>
    <w:rsid w:val="008C307A"/>
    <w:rsid w:val="008C3293"/>
    <w:rsid w:val="008C36C7"/>
    <w:rsid w:val="008C5736"/>
    <w:rsid w:val="008C6CBA"/>
    <w:rsid w:val="008D0CAB"/>
    <w:rsid w:val="008D4640"/>
    <w:rsid w:val="008E00FF"/>
    <w:rsid w:val="008E04BC"/>
    <w:rsid w:val="008E4DB0"/>
    <w:rsid w:val="008E6D10"/>
    <w:rsid w:val="008E6EFC"/>
    <w:rsid w:val="008F2E77"/>
    <w:rsid w:val="008F44C8"/>
    <w:rsid w:val="008F690F"/>
    <w:rsid w:val="008F79AB"/>
    <w:rsid w:val="00907680"/>
    <w:rsid w:val="00910B74"/>
    <w:rsid w:val="00912564"/>
    <w:rsid w:val="00915BA3"/>
    <w:rsid w:val="00916DA1"/>
    <w:rsid w:val="00920780"/>
    <w:rsid w:val="00925C89"/>
    <w:rsid w:val="00926A15"/>
    <w:rsid w:val="00926B13"/>
    <w:rsid w:val="00932E3C"/>
    <w:rsid w:val="0093386A"/>
    <w:rsid w:val="009378C3"/>
    <w:rsid w:val="00941B16"/>
    <w:rsid w:val="00943107"/>
    <w:rsid w:val="009440D5"/>
    <w:rsid w:val="00946C73"/>
    <w:rsid w:val="00946E99"/>
    <w:rsid w:val="00946EE9"/>
    <w:rsid w:val="009511AC"/>
    <w:rsid w:val="0095456D"/>
    <w:rsid w:val="00955A20"/>
    <w:rsid w:val="00955B00"/>
    <w:rsid w:val="00955E05"/>
    <w:rsid w:val="00957A9D"/>
    <w:rsid w:val="009610FE"/>
    <w:rsid w:val="00966845"/>
    <w:rsid w:val="00970B68"/>
    <w:rsid w:val="0097148D"/>
    <w:rsid w:val="009749A5"/>
    <w:rsid w:val="00974B17"/>
    <w:rsid w:val="00974E9E"/>
    <w:rsid w:val="009767E0"/>
    <w:rsid w:val="009773ED"/>
    <w:rsid w:val="00977723"/>
    <w:rsid w:val="0098159A"/>
    <w:rsid w:val="009818C8"/>
    <w:rsid w:val="00982842"/>
    <w:rsid w:val="00990080"/>
    <w:rsid w:val="0099181C"/>
    <w:rsid w:val="00991AAD"/>
    <w:rsid w:val="00991D94"/>
    <w:rsid w:val="009924C3"/>
    <w:rsid w:val="00992771"/>
    <w:rsid w:val="00993662"/>
    <w:rsid w:val="0099565E"/>
    <w:rsid w:val="009A00EB"/>
    <w:rsid w:val="009A1781"/>
    <w:rsid w:val="009A31CD"/>
    <w:rsid w:val="009A40F9"/>
    <w:rsid w:val="009A64C4"/>
    <w:rsid w:val="009A77EB"/>
    <w:rsid w:val="009A7D36"/>
    <w:rsid w:val="009A7FC4"/>
    <w:rsid w:val="009B0210"/>
    <w:rsid w:val="009B6B16"/>
    <w:rsid w:val="009C0820"/>
    <w:rsid w:val="009C1527"/>
    <w:rsid w:val="009C4233"/>
    <w:rsid w:val="009D1E2F"/>
    <w:rsid w:val="009D290B"/>
    <w:rsid w:val="009D5C22"/>
    <w:rsid w:val="009D5D65"/>
    <w:rsid w:val="009D60F7"/>
    <w:rsid w:val="009D7704"/>
    <w:rsid w:val="009E4A05"/>
    <w:rsid w:val="009E61C2"/>
    <w:rsid w:val="009E76F4"/>
    <w:rsid w:val="009F3B88"/>
    <w:rsid w:val="00A0575C"/>
    <w:rsid w:val="00A05C12"/>
    <w:rsid w:val="00A11CDF"/>
    <w:rsid w:val="00A12911"/>
    <w:rsid w:val="00A14C00"/>
    <w:rsid w:val="00A1649B"/>
    <w:rsid w:val="00A16C44"/>
    <w:rsid w:val="00A16F99"/>
    <w:rsid w:val="00A17813"/>
    <w:rsid w:val="00A178FF"/>
    <w:rsid w:val="00A20B56"/>
    <w:rsid w:val="00A23C4C"/>
    <w:rsid w:val="00A247E4"/>
    <w:rsid w:val="00A24A21"/>
    <w:rsid w:val="00A26D6C"/>
    <w:rsid w:val="00A33817"/>
    <w:rsid w:val="00A351B9"/>
    <w:rsid w:val="00A37AC7"/>
    <w:rsid w:val="00A4157B"/>
    <w:rsid w:val="00A4163F"/>
    <w:rsid w:val="00A41B96"/>
    <w:rsid w:val="00A428B2"/>
    <w:rsid w:val="00A4383B"/>
    <w:rsid w:val="00A43A56"/>
    <w:rsid w:val="00A43DBF"/>
    <w:rsid w:val="00A508EB"/>
    <w:rsid w:val="00A54CE8"/>
    <w:rsid w:val="00A579F0"/>
    <w:rsid w:val="00A62940"/>
    <w:rsid w:val="00A6411B"/>
    <w:rsid w:val="00A65D91"/>
    <w:rsid w:val="00A71071"/>
    <w:rsid w:val="00A710C1"/>
    <w:rsid w:val="00A723B5"/>
    <w:rsid w:val="00A731B6"/>
    <w:rsid w:val="00A7441D"/>
    <w:rsid w:val="00A745AF"/>
    <w:rsid w:val="00A75C18"/>
    <w:rsid w:val="00A76721"/>
    <w:rsid w:val="00A77F09"/>
    <w:rsid w:val="00A817D5"/>
    <w:rsid w:val="00A820B0"/>
    <w:rsid w:val="00A84430"/>
    <w:rsid w:val="00A86B15"/>
    <w:rsid w:val="00A90606"/>
    <w:rsid w:val="00A90D52"/>
    <w:rsid w:val="00A90DA3"/>
    <w:rsid w:val="00A90DE7"/>
    <w:rsid w:val="00A92709"/>
    <w:rsid w:val="00A97201"/>
    <w:rsid w:val="00AA295F"/>
    <w:rsid w:val="00AA2CEC"/>
    <w:rsid w:val="00AA382D"/>
    <w:rsid w:val="00AA45F3"/>
    <w:rsid w:val="00AA49B9"/>
    <w:rsid w:val="00AA4FAA"/>
    <w:rsid w:val="00AB5D26"/>
    <w:rsid w:val="00AB603F"/>
    <w:rsid w:val="00AB6860"/>
    <w:rsid w:val="00AB7C50"/>
    <w:rsid w:val="00AB7D7F"/>
    <w:rsid w:val="00AC100F"/>
    <w:rsid w:val="00AC483F"/>
    <w:rsid w:val="00AC5533"/>
    <w:rsid w:val="00AC5913"/>
    <w:rsid w:val="00AC67D5"/>
    <w:rsid w:val="00AC6D15"/>
    <w:rsid w:val="00AD04DF"/>
    <w:rsid w:val="00AD13D2"/>
    <w:rsid w:val="00AD69B1"/>
    <w:rsid w:val="00AD7A06"/>
    <w:rsid w:val="00AD7BBC"/>
    <w:rsid w:val="00AE051F"/>
    <w:rsid w:val="00AE0FC4"/>
    <w:rsid w:val="00AE5309"/>
    <w:rsid w:val="00AE5453"/>
    <w:rsid w:val="00AE5A2B"/>
    <w:rsid w:val="00AE65F9"/>
    <w:rsid w:val="00AF0C25"/>
    <w:rsid w:val="00B00224"/>
    <w:rsid w:val="00B01429"/>
    <w:rsid w:val="00B0251C"/>
    <w:rsid w:val="00B03BDB"/>
    <w:rsid w:val="00B05C6A"/>
    <w:rsid w:val="00B06458"/>
    <w:rsid w:val="00B070D3"/>
    <w:rsid w:val="00B0789E"/>
    <w:rsid w:val="00B13E70"/>
    <w:rsid w:val="00B163EF"/>
    <w:rsid w:val="00B208F3"/>
    <w:rsid w:val="00B20D2F"/>
    <w:rsid w:val="00B220EA"/>
    <w:rsid w:val="00B23861"/>
    <w:rsid w:val="00B24814"/>
    <w:rsid w:val="00B25727"/>
    <w:rsid w:val="00B263B8"/>
    <w:rsid w:val="00B26972"/>
    <w:rsid w:val="00B3087F"/>
    <w:rsid w:val="00B33764"/>
    <w:rsid w:val="00B3410B"/>
    <w:rsid w:val="00B362DF"/>
    <w:rsid w:val="00B37F25"/>
    <w:rsid w:val="00B43C9C"/>
    <w:rsid w:val="00B47A06"/>
    <w:rsid w:val="00B548AF"/>
    <w:rsid w:val="00B54F47"/>
    <w:rsid w:val="00B54F5F"/>
    <w:rsid w:val="00B60228"/>
    <w:rsid w:val="00B61BCC"/>
    <w:rsid w:val="00B62046"/>
    <w:rsid w:val="00B6289C"/>
    <w:rsid w:val="00B64483"/>
    <w:rsid w:val="00B65D22"/>
    <w:rsid w:val="00B660E1"/>
    <w:rsid w:val="00B6702F"/>
    <w:rsid w:val="00B705F3"/>
    <w:rsid w:val="00B7119B"/>
    <w:rsid w:val="00B730C2"/>
    <w:rsid w:val="00B73295"/>
    <w:rsid w:val="00B74CF5"/>
    <w:rsid w:val="00B76A2B"/>
    <w:rsid w:val="00B77E7E"/>
    <w:rsid w:val="00B80E4B"/>
    <w:rsid w:val="00B829A4"/>
    <w:rsid w:val="00B830AC"/>
    <w:rsid w:val="00B853D8"/>
    <w:rsid w:val="00B875C0"/>
    <w:rsid w:val="00BA5ED1"/>
    <w:rsid w:val="00BB08B2"/>
    <w:rsid w:val="00BB0DC8"/>
    <w:rsid w:val="00BB5763"/>
    <w:rsid w:val="00BB6926"/>
    <w:rsid w:val="00BB6F04"/>
    <w:rsid w:val="00BB7887"/>
    <w:rsid w:val="00BC3134"/>
    <w:rsid w:val="00BD1A2D"/>
    <w:rsid w:val="00BD1C67"/>
    <w:rsid w:val="00BD2BDD"/>
    <w:rsid w:val="00BD2F01"/>
    <w:rsid w:val="00BD3EFA"/>
    <w:rsid w:val="00BD4009"/>
    <w:rsid w:val="00BD4230"/>
    <w:rsid w:val="00BE2302"/>
    <w:rsid w:val="00BE2D52"/>
    <w:rsid w:val="00BE5500"/>
    <w:rsid w:val="00BE7D76"/>
    <w:rsid w:val="00BF0EFE"/>
    <w:rsid w:val="00BF36AB"/>
    <w:rsid w:val="00BF63BA"/>
    <w:rsid w:val="00C00FA8"/>
    <w:rsid w:val="00C05FA6"/>
    <w:rsid w:val="00C114BA"/>
    <w:rsid w:val="00C1527E"/>
    <w:rsid w:val="00C2214C"/>
    <w:rsid w:val="00C23EEF"/>
    <w:rsid w:val="00C3020A"/>
    <w:rsid w:val="00C35286"/>
    <w:rsid w:val="00C36699"/>
    <w:rsid w:val="00C41FA6"/>
    <w:rsid w:val="00C44284"/>
    <w:rsid w:val="00C44602"/>
    <w:rsid w:val="00C44DEB"/>
    <w:rsid w:val="00C4686B"/>
    <w:rsid w:val="00C53B33"/>
    <w:rsid w:val="00C576AA"/>
    <w:rsid w:val="00C57EDB"/>
    <w:rsid w:val="00C63E47"/>
    <w:rsid w:val="00C64C02"/>
    <w:rsid w:val="00C6597F"/>
    <w:rsid w:val="00C67099"/>
    <w:rsid w:val="00C67195"/>
    <w:rsid w:val="00C708C9"/>
    <w:rsid w:val="00C72F20"/>
    <w:rsid w:val="00C73E8C"/>
    <w:rsid w:val="00C745C7"/>
    <w:rsid w:val="00C74A9B"/>
    <w:rsid w:val="00C82A0A"/>
    <w:rsid w:val="00C83E18"/>
    <w:rsid w:val="00C85F0A"/>
    <w:rsid w:val="00C87691"/>
    <w:rsid w:val="00C907F7"/>
    <w:rsid w:val="00C9108F"/>
    <w:rsid w:val="00C912C6"/>
    <w:rsid w:val="00C916EC"/>
    <w:rsid w:val="00C9411C"/>
    <w:rsid w:val="00C961D4"/>
    <w:rsid w:val="00CA067F"/>
    <w:rsid w:val="00CA21E9"/>
    <w:rsid w:val="00CA3483"/>
    <w:rsid w:val="00CA552F"/>
    <w:rsid w:val="00CB0FB5"/>
    <w:rsid w:val="00CB2E00"/>
    <w:rsid w:val="00CB56FA"/>
    <w:rsid w:val="00CB5AD2"/>
    <w:rsid w:val="00CB6116"/>
    <w:rsid w:val="00CC0803"/>
    <w:rsid w:val="00CC0B66"/>
    <w:rsid w:val="00CC10F4"/>
    <w:rsid w:val="00CC167C"/>
    <w:rsid w:val="00CC1BDA"/>
    <w:rsid w:val="00CC2BEB"/>
    <w:rsid w:val="00CC4098"/>
    <w:rsid w:val="00CC4458"/>
    <w:rsid w:val="00CC7A3A"/>
    <w:rsid w:val="00CD2730"/>
    <w:rsid w:val="00CD3434"/>
    <w:rsid w:val="00CD374F"/>
    <w:rsid w:val="00CD52A7"/>
    <w:rsid w:val="00CE1FCD"/>
    <w:rsid w:val="00CE21D9"/>
    <w:rsid w:val="00CE39F8"/>
    <w:rsid w:val="00CE4640"/>
    <w:rsid w:val="00CE57E9"/>
    <w:rsid w:val="00CF0B1B"/>
    <w:rsid w:val="00CF294D"/>
    <w:rsid w:val="00CF2F8D"/>
    <w:rsid w:val="00CF4321"/>
    <w:rsid w:val="00CF4C59"/>
    <w:rsid w:val="00CF674E"/>
    <w:rsid w:val="00CF6FD3"/>
    <w:rsid w:val="00CF70C9"/>
    <w:rsid w:val="00D01247"/>
    <w:rsid w:val="00D03541"/>
    <w:rsid w:val="00D05C6D"/>
    <w:rsid w:val="00D05FA6"/>
    <w:rsid w:val="00D07626"/>
    <w:rsid w:val="00D16799"/>
    <w:rsid w:val="00D16997"/>
    <w:rsid w:val="00D173BA"/>
    <w:rsid w:val="00D21969"/>
    <w:rsid w:val="00D2280D"/>
    <w:rsid w:val="00D24C9E"/>
    <w:rsid w:val="00D27E61"/>
    <w:rsid w:val="00D30D0B"/>
    <w:rsid w:val="00D31D92"/>
    <w:rsid w:val="00D35569"/>
    <w:rsid w:val="00D41E75"/>
    <w:rsid w:val="00D43DE2"/>
    <w:rsid w:val="00D56E5D"/>
    <w:rsid w:val="00D64CF8"/>
    <w:rsid w:val="00D65B14"/>
    <w:rsid w:val="00D664A4"/>
    <w:rsid w:val="00D66E69"/>
    <w:rsid w:val="00D70FF5"/>
    <w:rsid w:val="00D71A49"/>
    <w:rsid w:val="00D7508E"/>
    <w:rsid w:val="00D75944"/>
    <w:rsid w:val="00D812B1"/>
    <w:rsid w:val="00D86C54"/>
    <w:rsid w:val="00D870E2"/>
    <w:rsid w:val="00D9013E"/>
    <w:rsid w:val="00D94678"/>
    <w:rsid w:val="00D96C65"/>
    <w:rsid w:val="00D97CD5"/>
    <w:rsid w:val="00DA5383"/>
    <w:rsid w:val="00DA6F59"/>
    <w:rsid w:val="00DA7135"/>
    <w:rsid w:val="00DB30B7"/>
    <w:rsid w:val="00DB6307"/>
    <w:rsid w:val="00DC5E91"/>
    <w:rsid w:val="00DD4F92"/>
    <w:rsid w:val="00DD61B5"/>
    <w:rsid w:val="00DD6E66"/>
    <w:rsid w:val="00DE029C"/>
    <w:rsid w:val="00DF0150"/>
    <w:rsid w:val="00DF0ED3"/>
    <w:rsid w:val="00DF24E3"/>
    <w:rsid w:val="00DF39F1"/>
    <w:rsid w:val="00DF5EDF"/>
    <w:rsid w:val="00DF69FC"/>
    <w:rsid w:val="00DF6F0D"/>
    <w:rsid w:val="00E00B62"/>
    <w:rsid w:val="00E0101A"/>
    <w:rsid w:val="00E01860"/>
    <w:rsid w:val="00E057D0"/>
    <w:rsid w:val="00E11FBD"/>
    <w:rsid w:val="00E1361B"/>
    <w:rsid w:val="00E14654"/>
    <w:rsid w:val="00E146B9"/>
    <w:rsid w:val="00E1587C"/>
    <w:rsid w:val="00E15E87"/>
    <w:rsid w:val="00E20B9B"/>
    <w:rsid w:val="00E21200"/>
    <w:rsid w:val="00E22116"/>
    <w:rsid w:val="00E25863"/>
    <w:rsid w:val="00E26E76"/>
    <w:rsid w:val="00E30CEC"/>
    <w:rsid w:val="00E30D46"/>
    <w:rsid w:val="00E33CFA"/>
    <w:rsid w:val="00E34218"/>
    <w:rsid w:val="00E351F5"/>
    <w:rsid w:val="00E3744E"/>
    <w:rsid w:val="00E37CE8"/>
    <w:rsid w:val="00E44EA7"/>
    <w:rsid w:val="00E506F9"/>
    <w:rsid w:val="00E51C28"/>
    <w:rsid w:val="00E51DB1"/>
    <w:rsid w:val="00E52E96"/>
    <w:rsid w:val="00E536A7"/>
    <w:rsid w:val="00E538EE"/>
    <w:rsid w:val="00E54657"/>
    <w:rsid w:val="00E55B1C"/>
    <w:rsid w:val="00E55D1F"/>
    <w:rsid w:val="00E578F2"/>
    <w:rsid w:val="00E62374"/>
    <w:rsid w:val="00E6767B"/>
    <w:rsid w:val="00E7061D"/>
    <w:rsid w:val="00E7260A"/>
    <w:rsid w:val="00E74E49"/>
    <w:rsid w:val="00E76B92"/>
    <w:rsid w:val="00E81D4A"/>
    <w:rsid w:val="00E820B3"/>
    <w:rsid w:val="00E84662"/>
    <w:rsid w:val="00E8478D"/>
    <w:rsid w:val="00E85988"/>
    <w:rsid w:val="00E8661D"/>
    <w:rsid w:val="00E9170E"/>
    <w:rsid w:val="00E92379"/>
    <w:rsid w:val="00E942E5"/>
    <w:rsid w:val="00E953F4"/>
    <w:rsid w:val="00E95B5A"/>
    <w:rsid w:val="00E95EEC"/>
    <w:rsid w:val="00E96DF2"/>
    <w:rsid w:val="00EA20FF"/>
    <w:rsid w:val="00EA2AFD"/>
    <w:rsid w:val="00EA3B38"/>
    <w:rsid w:val="00EA3DCA"/>
    <w:rsid w:val="00EA4BF0"/>
    <w:rsid w:val="00EA56E2"/>
    <w:rsid w:val="00EB01B8"/>
    <w:rsid w:val="00EB1D93"/>
    <w:rsid w:val="00EB27AB"/>
    <w:rsid w:val="00EB3B26"/>
    <w:rsid w:val="00EB526B"/>
    <w:rsid w:val="00EB6B71"/>
    <w:rsid w:val="00EC007B"/>
    <w:rsid w:val="00EC51B2"/>
    <w:rsid w:val="00EC72C2"/>
    <w:rsid w:val="00EC7F08"/>
    <w:rsid w:val="00ED00F1"/>
    <w:rsid w:val="00ED17C1"/>
    <w:rsid w:val="00ED1F26"/>
    <w:rsid w:val="00ED2287"/>
    <w:rsid w:val="00ED6EF0"/>
    <w:rsid w:val="00EE1955"/>
    <w:rsid w:val="00EE3776"/>
    <w:rsid w:val="00EE5F1C"/>
    <w:rsid w:val="00EE6026"/>
    <w:rsid w:val="00EE6259"/>
    <w:rsid w:val="00EE68AC"/>
    <w:rsid w:val="00EE7B0B"/>
    <w:rsid w:val="00EF063E"/>
    <w:rsid w:val="00EF5EE3"/>
    <w:rsid w:val="00EF7D52"/>
    <w:rsid w:val="00F01868"/>
    <w:rsid w:val="00F0224A"/>
    <w:rsid w:val="00F03A77"/>
    <w:rsid w:val="00F10725"/>
    <w:rsid w:val="00F115DB"/>
    <w:rsid w:val="00F12BC6"/>
    <w:rsid w:val="00F172B0"/>
    <w:rsid w:val="00F17862"/>
    <w:rsid w:val="00F17B15"/>
    <w:rsid w:val="00F22BD2"/>
    <w:rsid w:val="00F22C73"/>
    <w:rsid w:val="00F2330C"/>
    <w:rsid w:val="00F305C6"/>
    <w:rsid w:val="00F329E1"/>
    <w:rsid w:val="00F32A57"/>
    <w:rsid w:val="00F35AF2"/>
    <w:rsid w:val="00F37569"/>
    <w:rsid w:val="00F4028B"/>
    <w:rsid w:val="00F41C6C"/>
    <w:rsid w:val="00F4273A"/>
    <w:rsid w:val="00F455A0"/>
    <w:rsid w:val="00F46978"/>
    <w:rsid w:val="00F46DF3"/>
    <w:rsid w:val="00F500DD"/>
    <w:rsid w:val="00F51DF8"/>
    <w:rsid w:val="00F53310"/>
    <w:rsid w:val="00F53A0F"/>
    <w:rsid w:val="00F5789F"/>
    <w:rsid w:val="00F62B1D"/>
    <w:rsid w:val="00F63CF1"/>
    <w:rsid w:val="00F63EED"/>
    <w:rsid w:val="00F6408C"/>
    <w:rsid w:val="00F7170C"/>
    <w:rsid w:val="00F763A4"/>
    <w:rsid w:val="00F76B4B"/>
    <w:rsid w:val="00F771B3"/>
    <w:rsid w:val="00F77E7E"/>
    <w:rsid w:val="00F80EBA"/>
    <w:rsid w:val="00F839C7"/>
    <w:rsid w:val="00F91733"/>
    <w:rsid w:val="00F922CE"/>
    <w:rsid w:val="00F925A0"/>
    <w:rsid w:val="00F94737"/>
    <w:rsid w:val="00F96CAC"/>
    <w:rsid w:val="00F970D5"/>
    <w:rsid w:val="00F97284"/>
    <w:rsid w:val="00FA2A02"/>
    <w:rsid w:val="00FA5AA6"/>
    <w:rsid w:val="00FB3211"/>
    <w:rsid w:val="00FB3420"/>
    <w:rsid w:val="00FB490B"/>
    <w:rsid w:val="00FB4927"/>
    <w:rsid w:val="00FB51F2"/>
    <w:rsid w:val="00FB567B"/>
    <w:rsid w:val="00FB57A3"/>
    <w:rsid w:val="00FB5F9F"/>
    <w:rsid w:val="00FD5EC4"/>
    <w:rsid w:val="00FE2D91"/>
    <w:rsid w:val="00FE2EEB"/>
    <w:rsid w:val="00FE64A8"/>
    <w:rsid w:val="00FE7BA5"/>
    <w:rsid w:val="00FF4013"/>
    <w:rsid w:val="00FF4D09"/>
    <w:rsid w:val="00FF63E1"/>
    <w:rsid w:val="00FF6E8B"/>
    <w:rsid w:val="00FF6F64"/>
    <w:rsid w:val="00FF7822"/>
    <w:rsid w:val="00FF7CE7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7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Cuota Hilton adjudicada</c:v>
                </c:pt>
              </c:strCache>
            </c:strRef>
          </c:tx>
          <c:cat>
            <c:strRef>
              <c:f>Hoja1!$A$2:$A$8</c:f>
              <c:strCache>
                <c:ptCount val="7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</c:strCache>
            </c:strRef>
          </c:cat>
          <c:val>
            <c:numRef>
              <c:f>Hoja1!$B$2:$B$8</c:f>
              <c:numCache>
                <c:formatCode>#,##0</c:formatCode>
                <c:ptCount val="7"/>
                <c:pt idx="0">
                  <c:v>28000</c:v>
                </c:pt>
                <c:pt idx="1">
                  <c:v>28000</c:v>
                </c:pt>
                <c:pt idx="2">
                  <c:v>28000</c:v>
                </c:pt>
                <c:pt idx="3">
                  <c:v>28000</c:v>
                </c:pt>
                <c:pt idx="4">
                  <c:v>29935</c:v>
                </c:pt>
                <c:pt idx="5">
                  <c:v>30000</c:v>
                </c:pt>
                <c:pt idx="6">
                  <c:v>30000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cumplimiento de Cuota Hliton</c:v>
                </c:pt>
              </c:strCache>
            </c:strRef>
          </c:tx>
          <c:cat>
            <c:strRef>
              <c:f>Hoja1!$A$2:$A$8</c:f>
              <c:strCache>
                <c:ptCount val="7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</c:strCache>
            </c:strRef>
          </c:cat>
          <c:val>
            <c:numRef>
              <c:f>Hoja1!$C$2:$C$8</c:f>
              <c:numCache>
                <c:formatCode>#,##0</c:formatCode>
                <c:ptCount val="7"/>
                <c:pt idx="0">
                  <c:v>3012</c:v>
                </c:pt>
                <c:pt idx="1">
                  <c:v>1998</c:v>
                </c:pt>
                <c:pt idx="2">
                  <c:v>10946</c:v>
                </c:pt>
                <c:pt idx="3">
                  <c:v>2398</c:v>
                </c:pt>
                <c:pt idx="4">
                  <c:v>11325</c:v>
                </c:pt>
                <c:pt idx="5">
                  <c:v>8065</c:v>
                </c:pt>
                <c:pt idx="6">
                  <c:v>9280</c:v>
                </c:pt>
              </c:numCache>
            </c:numRef>
          </c:val>
        </c:ser>
        <c:axId val="35472128"/>
        <c:axId val="35474432"/>
      </c:barChart>
      <c:catAx>
        <c:axId val="35472128"/>
        <c:scaling>
          <c:orientation val="minMax"/>
        </c:scaling>
        <c:axPos val="b"/>
        <c:numFmt formatCode="dd\-mmm" sourceLinked="1"/>
        <c:tickLblPos val="nextTo"/>
        <c:crossAx val="35474432"/>
        <c:crosses val="autoZero"/>
        <c:auto val="1"/>
        <c:lblAlgn val="ctr"/>
        <c:lblOffset val="100"/>
      </c:catAx>
      <c:valAx>
        <c:axId val="35474432"/>
        <c:scaling>
          <c:orientation val="minMax"/>
        </c:scaling>
        <c:axPos val="l"/>
        <c:majorGridlines/>
        <c:numFmt formatCode="#,##0" sourceLinked="1"/>
        <c:tickLblPos val="nextTo"/>
        <c:crossAx val="3547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2014-04-28T23:00:00Z</dcterms:created>
  <dcterms:modified xsi:type="dcterms:W3CDTF">2014-04-29T10:00:00Z</dcterms:modified>
</cp:coreProperties>
</file>