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10" w:rsidRDefault="008E6D10"/>
    <w:p w:rsidR="00990F57" w:rsidRDefault="00990F57"/>
    <w:p w:rsidR="00990F57" w:rsidRDefault="00990F57"/>
    <w:p w:rsidR="00990F57" w:rsidRDefault="00990F57"/>
    <w:p w:rsidR="00990F57" w:rsidRPr="00921683" w:rsidRDefault="00990F57" w:rsidP="00921683">
      <w:pPr>
        <w:ind w:left="0" w:firstLine="0"/>
        <w:rPr>
          <w:b/>
          <w:sz w:val="28"/>
          <w:szCs w:val="28"/>
        </w:rPr>
      </w:pPr>
      <w:r w:rsidRPr="00921683">
        <w:rPr>
          <w:b/>
          <w:sz w:val="40"/>
          <w:szCs w:val="40"/>
        </w:rPr>
        <w:t>Ex</w:t>
      </w:r>
      <w:r w:rsidR="00CE2DFE">
        <w:rPr>
          <w:b/>
          <w:sz w:val="40"/>
          <w:szCs w:val="40"/>
        </w:rPr>
        <w:t>portaciones</w:t>
      </w:r>
      <w:r w:rsidRPr="00921683">
        <w:rPr>
          <w:b/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 w:rsidRPr="00921683">
        <w:rPr>
          <w:b/>
        </w:rPr>
        <w:t>“</w:t>
      </w:r>
      <w:r w:rsidR="00CE2DFE">
        <w:rPr>
          <w:b/>
          <w:sz w:val="28"/>
          <w:szCs w:val="28"/>
        </w:rPr>
        <w:t>Menos ingresos de dólares por exportaciones del sector agrícola”</w:t>
      </w:r>
    </w:p>
    <w:p w:rsidR="00921683" w:rsidRDefault="00921683" w:rsidP="00921683">
      <w:pPr>
        <w:ind w:left="0" w:firstLine="0"/>
      </w:pPr>
    </w:p>
    <w:p w:rsidR="00921683" w:rsidRPr="00921683" w:rsidRDefault="00921683" w:rsidP="00921683">
      <w:pPr>
        <w:ind w:left="0" w:firstLine="0"/>
        <w:rPr>
          <w:i/>
          <w:sz w:val="32"/>
          <w:szCs w:val="32"/>
        </w:rPr>
      </w:pPr>
      <w:r w:rsidRPr="00921683">
        <w:rPr>
          <w:i/>
          <w:sz w:val="32"/>
          <w:szCs w:val="32"/>
        </w:rPr>
        <w:t>“A pesar de qu</w:t>
      </w:r>
      <w:r w:rsidR="001943AF">
        <w:rPr>
          <w:i/>
          <w:sz w:val="32"/>
          <w:szCs w:val="32"/>
        </w:rPr>
        <w:t>e el complejo sojero tuvo má</w:t>
      </w:r>
      <w:r w:rsidR="001943AF" w:rsidRPr="00921683">
        <w:rPr>
          <w:i/>
          <w:sz w:val="32"/>
          <w:szCs w:val="32"/>
        </w:rPr>
        <w:t>s</w:t>
      </w:r>
      <w:r w:rsidRPr="00921683">
        <w:rPr>
          <w:i/>
          <w:sz w:val="32"/>
          <w:szCs w:val="32"/>
        </w:rPr>
        <w:t xml:space="preserve"> exportaciones en el 1º cuatrimestre de 2014 comparado con el mismo período de</w:t>
      </w:r>
      <w:r w:rsidR="001943AF">
        <w:rPr>
          <w:i/>
          <w:sz w:val="32"/>
          <w:szCs w:val="32"/>
        </w:rPr>
        <w:t xml:space="preserve"> 2013, </w:t>
      </w:r>
      <w:r w:rsidR="001E4DE0">
        <w:rPr>
          <w:i/>
          <w:sz w:val="32"/>
          <w:szCs w:val="32"/>
        </w:rPr>
        <w:t>el resto de los cultivos del país, a causa de las malas políticas del Gobierno Nacional, tuvieron resultados interanuales negativos</w:t>
      </w:r>
      <w:r w:rsidRPr="00921683">
        <w:rPr>
          <w:i/>
          <w:sz w:val="32"/>
          <w:szCs w:val="32"/>
        </w:rPr>
        <w:t>”</w:t>
      </w:r>
    </w:p>
    <w:p w:rsidR="00921683" w:rsidRDefault="00921683" w:rsidP="00921683">
      <w:pPr>
        <w:ind w:left="0" w:firstLine="0"/>
        <w:rPr>
          <w:i/>
          <w:sz w:val="28"/>
          <w:szCs w:val="28"/>
        </w:rPr>
      </w:pPr>
    </w:p>
    <w:p w:rsidR="00990F57" w:rsidRPr="007844E5" w:rsidRDefault="00990F57" w:rsidP="00921683">
      <w:pPr>
        <w:pStyle w:val="Prrafodelista"/>
        <w:numPr>
          <w:ilvl w:val="0"/>
          <w:numId w:val="2"/>
        </w:numPr>
        <w:ind w:left="0" w:firstLine="0"/>
        <w:rPr>
          <w:b/>
        </w:rPr>
      </w:pPr>
      <w:r w:rsidRPr="007844E5">
        <w:rPr>
          <w:b/>
        </w:rPr>
        <w:t>Exportaciones totales</w:t>
      </w:r>
      <w:r w:rsidR="006B5BB2" w:rsidRPr="007844E5">
        <w:rPr>
          <w:b/>
        </w:rPr>
        <w:t xml:space="preserve"> 1º cuatrimestre 2014</w:t>
      </w:r>
    </w:p>
    <w:p w:rsidR="006B5BB2" w:rsidRDefault="006B5BB2" w:rsidP="00921683">
      <w:pPr>
        <w:ind w:left="0" w:firstLine="0"/>
      </w:pPr>
    </w:p>
    <w:p w:rsidR="006B5BB2" w:rsidRDefault="006B5BB2" w:rsidP="00921683">
      <w:pPr>
        <w:ind w:left="0" w:firstLine="0"/>
      </w:pPr>
      <w:r>
        <w:t xml:space="preserve">Si tenemos en cuenta las últimas cifras dadas a conocer por el INDEC sobre exportaciones del 1º cuatrimestre de 2014 </w:t>
      </w:r>
      <w:r w:rsidR="007844E5">
        <w:t xml:space="preserve">–de los grandes rubros- </w:t>
      </w:r>
      <w:r>
        <w:t>y las comparamos con las del 1º cuatrimestre del 2013, estas tuvieron una baja del 10 % (Cuadro 1).</w:t>
      </w:r>
    </w:p>
    <w:p w:rsidR="00990F57" w:rsidRDefault="00990F57" w:rsidP="00921683">
      <w:pPr>
        <w:ind w:left="0" w:firstLine="0"/>
      </w:pPr>
      <w:r>
        <w:t xml:space="preserve">  </w:t>
      </w:r>
    </w:p>
    <w:p w:rsidR="00990F57" w:rsidRDefault="006B5BB2" w:rsidP="00921683">
      <w:pPr>
        <w:ind w:left="0" w:firstLine="0"/>
      </w:pPr>
      <w:r>
        <w:t>Cuadro 1: Exportaciones 1 º cuatrimestre 2014 vs 2013</w:t>
      </w:r>
    </w:p>
    <w:p w:rsidR="001668CD" w:rsidRDefault="001668CD" w:rsidP="00921683">
      <w:pPr>
        <w:ind w:left="0" w:firstLine="0"/>
      </w:pPr>
    </w:p>
    <w:tbl>
      <w:tblPr>
        <w:tblStyle w:val="Tablaconcuadrcula"/>
        <w:tblW w:w="0" w:type="auto"/>
        <w:tblInd w:w="357" w:type="dxa"/>
        <w:tblLook w:val="04A0"/>
      </w:tblPr>
      <w:tblGrid>
        <w:gridCol w:w="1753"/>
        <w:gridCol w:w="1415"/>
        <w:gridCol w:w="1415"/>
        <w:gridCol w:w="1264"/>
        <w:gridCol w:w="1429"/>
      </w:tblGrid>
      <w:tr w:rsidR="006B5BB2" w:rsidTr="006B5BB2">
        <w:tc>
          <w:tcPr>
            <w:tcW w:w="1753" w:type="dxa"/>
            <w:vMerge w:val="restart"/>
          </w:tcPr>
          <w:p w:rsidR="006B5BB2" w:rsidRPr="006B5BB2" w:rsidRDefault="006B5BB2" w:rsidP="00921683">
            <w:pPr>
              <w:ind w:left="0" w:firstLine="0"/>
              <w:jc w:val="center"/>
            </w:pPr>
            <w:r w:rsidRPr="006B5BB2">
              <w:rPr>
                <w:rFonts w:cs="Arial"/>
                <w:color w:val="000000"/>
              </w:rPr>
              <w:t>Exportación</w:t>
            </w:r>
          </w:p>
        </w:tc>
        <w:tc>
          <w:tcPr>
            <w:tcW w:w="2830" w:type="dxa"/>
            <w:gridSpan w:val="2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1º</w:t>
            </w:r>
            <w:r w:rsidRPr="006B5BB2">
              <w:rPr>
                <w:rFonts w:cs="Arial"/>
                <w:color w:val="000000"/>
              </w:rPr>
              <w:t xml:space="preserve"> cuatrimestre</w:t>
            </w:r>
            <w:r>
              <w:rPr>
                <w:rFonts w:cs="Arial"/>
                <w:color w:val="000000"/>
              </w:rPr>
              <w:t>(</w:t>
            </w:r>
            <w:proofErr w:type="spellStart"/>
            <w:r>
              <w:rPr>
                <w:rFonts w:cs="Arial"/>
                <w:color w:val="000000"/>
              </w:rPr>
              <w:t>MillU$S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1264" w:type="dxa"/>
            <w:vMerge w:val="restart"/>
          </w:tcPr>
          <w:p w:rsidR="006B5BB2" w:rsidRDefault="006B5BB2" w:rsidP="00921683">
            <w:pPr>
              <w:ind w:left="0"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Variación</w:t>
            </w:r>
          </w:p>
          <w:p w:rsidR="006B5BB2" w:rsidRPr="006B5BB2" w:rsidRDefault="006B5BB2" w:rsidP="00921683">
            <w:pPr>
              <w:ind w:left="0"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proofErr w:type="spellStart"/>
            <w:r>
              <w:rPr>
                <w:rFonts w:cs="Arial"/>
                <w:color w:val="000000"/>
              </w:rPr>
              <w:t>Mill</w:t>
            </w:r>
            <w:proofErr w:type="spellEnd"/>
            <w:r>
              <w:rPr>
                <w:rFonts w:cs="Arial"/>
                <w:color w:val="000000"/>
              </w:rPr>
              <w:t xml:space="preserve"> U$S) </w:t>
            </w:r>
          </w:p>
        </w:tc>
        <w:tc>
          <w:tcPr>
            <w:tcW w:w="1429" w:type="dxa"/>
            <w:vMerge w:val="restart"/>
          </w:tcPr>
          <w:p w:rsidR="006B5BB2" w:rsidRPr="006B5BB2" w:rsidRDefault="006B5BB2" w:rsidP="00921683">
            <w:pPr>
              <w:ind w:left="0" w:firstLine="0"/>
              <w:jc w:val="center"/>
            </w:pPr>
            <w:r w:rsidRPr="006B5BB2">
              <w:rPr>
                <w:rFonts w:cs="Arial"/>
                <w:color w:val="000000"/>
              </w:rPr>
              <w:t>Variación porcentual</w:t>
            </w:r>
          </w:p>
        </w:tc>
      </w:tr>
      <w:tr w:rsidR="006B5BB2" w:rsidTr="006B5BB2">
        <w:tc>
          <w:tcPr>
            <w:tcW w:w="1753" w:type="dxa"/>
            <w:vMerge/>
          </w:tcPr>
          <w:p w:rsidR="006B5BB2" w:rsidRPr="006B5BB2" w:rsidRDefault="006B5BB2" w:rsidP="00921683">
            <w:pPr>
              <w:ind w:left="0" w:firstLine="0"/>
              <w:jc w:val="center"/>
            </w:pPr>
          </w:p>
        </w:tc>
        <w:tc>
          <w:tcPr>
            <w:tcW w:w="1415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  <w:vertAlign w:val="superscript"/>
              </w:rPr>
            </w:pPr>
            <w:r w:rsidRPr="006B5BB2">
              <w:rPr>
                <w:rFonts w:cs="Arial"/>
                <w:color w:val="000000"/>
              </w:rPr>
              <w:t>2013</w:t>
            </w:r>
            <w:r w:rsidRPr="006B5BB2">
              <w:rPr>
                <w:rFonts w:cs="Arial"/>
                <w:color w:val="000000"/>
                <w:vertAlign w:val="superscript"/>
              </w:rPr>
              <w:t>*</w:t>
            </w:r>
          </w:p>
        </w:tc>
        <w:tc>
          <w:tcPr>
            <w:tcW w:w="1415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</w:rPr>
            </w:pPr>
            <w:r w:rsidRPr="006B5BB2">
              <w:rPr>
                <w:rFonts w:cs="Arial"/>
                <w:color w:val="000000"/>
              </w:rPr>
              <w:t>2014</w:t>
            </w:r>
            <w:r w:rsidRPr="006B5BB2">
              <w:rPr>
                <w:rFonts w:cs="Arial"/>
                <w:color w:val="000000"/>
                <w:vertAlign w:val="superscript"/>
              </w:rPr>
              <w:t>e</w:t>
            </w:r>
          </w:p>
        </w:tc>
        <w:tc>
          <w:tcPr>
            <w:tcW w:w="1264" w:type="dxa"/>
            <w:vMerge/>
          </w:tcPr>
          <w:p w:rsidR="006B5BB2" w:rsidRPr="006B5BB2" w:rsidRDefault="006B5BB2" w:rsidP="00921683">
            <w:pPr>
              <w:ind w:left="0" w:firstLine="0"/>
              <w:jc w:val="center"/>
            </w:pPr>
          </w:p>
        </w:tc>
        <w:tc>
          <w:tcPr>
            <w:tcW w:w="1429" w:type="dxa"/>
            <w:vMerge/>
          </w:tcPr>
          <w:p w:rsidR="006B5BB2" w:rsidRPr="006B5BB2" w:rsidRDefault="006B5BB2" w:rsidP="00921683">
            <w:pPr>
              <w:ind w:left="0" w:firstLine="0"/>
              <w:jc w:val="center"/>
            </w:pPr>
          </w:p>
        </w:tc>
      </w:tr>
      <w:tr w:rsidR="006B5BB2" w:rsidTr="006B5BB2">
        <w:tc>
          <w:tcPr>
            <w:tcW w:w="1753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6B5BB2">
              <w:rPr>
                <w:rFonts w:cs="Arial"/>
                <w:b/>
                <w:bCs/>
                <w:color w:val="000000"/>
              </w:rPr>
              <w:t>Total</w:t>
            </w:r>
          </w:p>
        </w:tc>
        <w:tc>
          <w:tcPr>
            <w:tcW w:w="1415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6B5BB2">
              <w:rPr>
                <w:rFonts w:cs="Arial"/>
                <w:b/>
                <w:bCs/>
                <w:color w:val="000000"/>
              </w:rPr>
              <w:t>24.838</w:t>
            </w:r>
          </w:p>
        </w:tc>
        <w:tc>
          <w:tcPr>
            <w:tcW w:w="1415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6B5BB2">
              <w:rPr>
                <w:rFonts w:cs="Arial"/>
                <w:b/>
                <w:bCs/>
                <w:color w:val="000000"/>
              </w:rPr>
              <w:t>22.275</w:t>
            </w:r>
          </w:p>
        </w:tc>
        <w:tc>
          <w:tcPr>
            <w:tcW w:w="1264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b/>
                <w:bCs/>
                <w:color w:val="FF0000"/>
              </w:rPr>
            </w:pPr>
            <w:r w:rsidRPr="006B5BB2">
              <w:rPr>
                <w:rFonts w:cs="Arial"/>
                <w:b/>
                <w:bCs/>
                <w:color w:val="FF0000"/>
              </w:rPr>
              <w:t>- 2.563</w:t>
            </w:r>
          </w:p>
        </w:tc>
        <w:tc>
          <w:tcPr>
            <w:tcW w:w="1429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6B5BB2">
              <w:rPr>
                <w:rFonts w:cs="Arial"/>
                <w:b/>
                <w:bCs/>
                <w:color w:val="000000"/>
              </w:rPr>
              <w:t>-10</w:t>
            </w:r>
          </w:p>
        </w:tc>
      </w:tr>
      <w:tr w:rsidR="006B5BB2" w:rsidTr="006B5BB2">
        <w:tc>
          <w:tcPr>
            <w:tcW w:w="1753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</w:rPr>
            </w:pPr>
            <w:r w:rsidRPr="006B5BB2">
              <w:rPr>
                <w:rFonts w:cs="Arial"/>
                <w:color w:val="000000"/>
              </w:rPr>
              <w:t>Productos primarios</w:t>
            </w:r>
          </w:p>
        </w:tc>
        <w:tc>
          <w:tcPr>
            <w:tcW w:w="1415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</w:rPr>
            </w:pPr>
            <w:r w:rsidRPr="006B5BB2">
              <w:rPr>
                <w:rFonts w:cs="Arial"/>
                <w:color w:val="000000"/>
              </w:rPr>
              <w:t>6.675</w:t>
            </w:r>
          </w:p>
        </w:tc>
        <w:tc>
          <w:tcPr>
            <w:tcW w:w="1415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</w:rPr>
            </w:pPr>
            <w:r w:rsidRPr="006B5BB2">
              <w:rPr>
                <w:rFonts w:cs="Arial"/>
                <w:color w:val="000000"/>
              </w:rPr>
              <w:t>4.294</w:t>
            </w:r>
          </w:p>
        </w:tc>
        <w:tc>
          <w:tcPr>
            <w:tcW w:w="1264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- 2.381</w:t>
            </w:r>
          </w:p>
        </w:tc>
        <w:tc>
          <w:tcPr>
            <w:tcW w:w="1429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</w:rPr>
            </w:pPr>
            <w:r w:rsidRPr="006B5BB2">
              <w:rPr>
                <w:rFonts w:cs="Arial"/>
                <w:color w:val="000000"/>
              </w:rPr>
              <w:t>-36</w:t>
            </w:r>
          </w:p>
        </w:tc>
      </w:tr>
      <w:tr w:rsidR="006B5BB2" w:rsidTr="006B5BB2">
        <w:tc>
          <w:tcPr>
            <w:tcW w:w="1753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</w:rPr>
            </w:pPr>
            <w:r w:rsidRPr="006B5BB2">
              <w:rPr>
                <w:rFonts w:cs="Arial"/>
                <w:color w:val="000000"/>
              </w:rPr>
              <w:t>Manufacturas de origen agropecuario</w:t>
            </w:r>
          </w:p>
        </w:tc>
        <w:tc>
          <w:tcPr>
            <w:tcW w:w="1415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</w:rPr>
            </w:pPr>
            <w:r w:rsidRPr="006B5BB2">
              <w:rPr>
                <w:rFonts w:cs="Arial"/>
                <w:color w:val="000000"/>
              </w:rPr>
              <w:t>7.759</w:t>
            </w:r>
          </w:p>
        </w:tc>
        <w:tc>
          <w:tcPr>
            <w:tcW w:w="1415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</w:rPr>
            </w:pPr>
            <w:r w:rsidRPr="006B5BB2">
              <w:rPr>
                <w:rFonts w:cs="Arial"/>
                <w:color w:val="000000"/>
              </w:rPr>
              <w:t>8.506</w:t>
            </w:r>
          </w:p>
        </w:tc>
        <w:tc>
          <w:tcPr>
            <w:tcW w:w="1264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747</w:t>
            </w:r>
          </w:p>
        </w:tc>
        <w:tc>
          <w:tcPr>
            <w:tcW w:w="1429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</w:rPr>
            </w:pPr>
            <w:r w:rsidRPr="006B5BB2">
              <w:rPr>
                <w:rFonts w:cs="Arial"/>
                <w:color w:val="000000"/>
              </w:rPr>
              <w:t>10</w:t>
            </w:r>
          </w:p>
        </w:tc>
      </w:tr>
      <w:tr w:rsidR="006B5BB2" w:rsidTr="006B5BB2">
        <w:tc>
          <w:tcPr>
            <w:tcW w:w="1753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</w:rPr>
            </w:pPr>
            <w:r w:rsidRPr="006B5BB2">
              <w:rPr>
                <w:rFonts w:cs="Arial"/>
                <w:color w:val="000000"/>
              </w:rPr>
              <w:t>Manufacturas de origen industrial</w:t>
            </w:r>
          </w:p>
        </w:tc>
        <w:tc>
          <w:tcPr>
            <w:tcW w:w="1415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</w:rPr>
            </w:pPr>
            <w:r w:rsidRPr="006B5BB2">
              <w:rPr>
                <w:rFonts w:cs="Arial"/>
                <w:color w:val="000000"/>
              </w:rPr>
              <w:t>8.645</w:t>
            </w:r>
          </w:p>
        </w:tc>
        <w:tc>
          <w:tcPr>
            <w:tcW w:w="1415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</w:rPr>
            </w:pPr>
            <w:r w:rsidRPr="006B5BB2">
              <w:rPr>
                <w:rFonts w:cs="Arial"/>
                <w:color w:val="000000"/>
              </w:rPr>
              <w:t>7.583</w:t>
            </w:r>
          </w:p>
        </w:tc>
        <w:tc>
          <w:tcPr>
            <w:tcW w:w="1264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- 1.062</w:t>
            </w:r>
          </w:p>
        </w:tc>
        <w:tc>
          <w:tcPr>
            <w:tcW w:w="1429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</w:rPr>
            </w:pPr>
            <w:r w:rsidRPr="006B5BB2">
              <w:rPr>
                <w:rFonts w:cs="Arial"/>
                <w:color w:val="000000"/>
              </w:rPr>
              <w:t>-12</w:t>
            </w:r>
          </w:p>
        </w:tc>
      </w:tr>
      <w:tr w:rsidR="006B5BB2" w:rsidTr="006B5BB2">
        <w:tc>
          <w:tcPr>
            <w:tcW w:w="1753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</w:rPr>
            </w:pPr>
            <w:r w:rsidRPr="006B5BB2">
              <w:rPr>
                <w:rFonts w:cs="Arial"/>
                <w:color w:val="000000"/>
              </w:rPr>
              <w:t>Combustibles y energía</w:t>
            </w:r>
          </w:p>
        </w:tc>
        <w:tc>
          <w:tcPr>
            <w:tcW w:w="1415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</w:rPr>
            </w:pPr>
            <w:r w:rsidRPr="006B5BB2">
              <w:rPr>
                <w:rFonts w:cs="Arial"/>
                <w:color w:val="000000"/>
              </w:rPr>
              <w:t>1.759</w:t>
            </w:r>
          </w:p>
        </w:tc>
        <w:tc>
          <w:tcPr>
            <w:tcW w:w="1415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</w:rPr>
            </w:pPr>
            <w:r w:rsidRPr="006B5BB2">
              <w:rPr>
                <w:rFonts w:cs="Arial"/>
                <w:color w:val="000000"/>
              </w:rPr>
              <w:t>1.892</w:t>
            </w:r>
          </w:p>
        </w:tc>
        <w:tc>
          <w:tcPr>
            <w:tcW w:w="1264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133</w:t>
            </w:r>
          </w:p>
        </w:tc>
        <w:tc>
          <w:tcPr>
            <w:tcW w:w="1429" w:type="dxa"/>
          </w:tcPr>
          <w:p w:rsidR="006B5BB2" w:rsidRPr="006B5BB2" w:rsidRDefault="006B5BB2" w:rsidP="0092168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000000"/>
              </w:rPr>
            </w:pPr>
            <w:r w:rsidRPr="006B5BB2">
              <w:rPr>
                <w:rFonts w:cs="Arial"/>
                <w:color w:val="000000"/>
              </w:rPr>
              <w:t>8</w:t>
            </w:r>
          </w:p>
        </w:tc>
      </w:tr>
    </w:tbl>
    <w:p w:rsidR="00990F57" w:rsidRDefault="00921683" w:rsidP="00921683">
      <w:pPr>
        <w:ind w:left="0" w:firstLine="0"/>
      </w:pPr>
      <w:r>
        <w:t>Elaboración propia con datos del INDEC</w:t>
      </w:r>
    </w:p>
    <w:p w:rsidR="00990F57" w:rsidRDefault="00990F57" w:rsidP="00921683">
      <w:pPr>
        <w:ind w:left="0" w:firstLine="0"/>
      </w:pPr>
    </w:p>
    <w:p w:rsidR="00990F57" w:rsidRDefault="007844E5" w:rsidP="00921683">
      <w:pPr>
        <w:ind w:left="0" w:firstLine="0"/>
      </w:pPr>
      <w:r>
        <w:t>L</w:t>
      </w:r>
      <w:r w:rsidR="002F2EBB">
        <w:t xml:space="preserve">a baja más significativas fueron los productos primarias con un 36 % menos, en cambio en el caso de las manufacturas de origen agropecuari0 (MOA), tuvieron un aumento del 10%. </w:t>
      </w:r>
    </w:p>
    <w:p w:rsidR="007844E5" w:rsidRDefault="007844E5" w:rsidP="00921683">
      <w:pPr>
        <w:ind w:left="0" w:firstLine="0"/>
      </w:pPr>
    </w:p>
    <w:p w:rsidR="002F2EBB" w:rsidRDefault="002F2EBB" w:rsidP="00921683">
      <w:pPr>
        <w:ind w:left="0" w:firstLine="0"/>
      </w:pPr>
    </w:p>
    <w:p w:rsidR="002F2EBB" w:rsidRPr="007844E5" w:rsidRDefault="002F2EBB" w:rsidP="00921683">
      <w:pPr>
        <w:pStyle w:val="Prrafodelista"/>
        <w:numPr>
          <w:ilvl w:val="0"/>
          <w:numId w:val="2"/>
        </w:numPr>
        <w:ind w:left="0" w:firstLine="0"/>
        <w:rPr>
          <w:b/>
        </w:rPr>
      </w:pPr>
      <w:r w:rsidRPr="007844E5">
        <w:rPr>
          <w:b/>
        </w:rPr>
        <w:t>Productos agrícolas</w:t>
      </w:r>
    </w:p>
    <w:p w:rsidR="002F2EBB" w:rsidRDefault="002F2EBB" w:rsidP="00921683">
      <w:pPr>
        <w:ind w:left="0" w:firstLine="0"/>
      </w:pPr>
    </w:p>
    <w:p w:rsidR="002F2EBB" w:rsidRDefault="002F2EBB" w:rsidP="00921683">
      <w:pPr>
        <w:ind w:left="0" w:firstLine="0"/>
      </w:pPr>
      <w:r>
        <w:t>En este punto vamos analizar cómo se comportaron los productos agrícolas. Para esto analizaremos los 6 principales cultivos (Cuadro 2), donde en el caso de la soja, trigo y girasol, lo haremos teniendo en cuenta las exportaciones tanto de materia prima (Poroto, grano y semilla) como manufactura.</w:t>
      </w:r>
    </w:p>
    <w:p w:rsidR="00921683" w:rsidRDefault="00921683" w:rsidP="00921683">
      <w:pPr>
        <w:ind w:left="0" w:firstLine="0"/>
      </w:pPr>
    </w:p>
    <w:p w:rsidR="00921683" w:rsidRDefault="00921683" w:rsidP="00921683">
      <w:pPr>
        <w:ind w:left="0" w:firstLine="0"/>
      </w:pPr>
    </w:p>
    <w:p w:rsidR="00921683" w:rsidRDefault="00921683" w:rsidP="00921683">
      <w:pPr>
        <w:ind w:left="0" w:firstLine="0"/>
      </w:pPr>
    </w:p>
    <w:p w:rsidR="002F2EBB" w:rsidRDefault="002F2EBB" w:rsidP="00921683">
      <w:pPr>
        <w:ind w:left="0" w:firstLine="0"/>
      </w:pPr>
    </w:p>
    <w:p w:rsidR="002F2EBB" w:rsidRDefault="002F2EBB" w:rsidP="00921683">
      <w:pPr>
        <w:ind w:left="0" w:firstLine="0"/>
      </w:pPr>
      <w:r>
        <w:t>Cuadro 2: Exportaciones productos agrícolas 1º cuatrimestre 2013 vs 2014</w:t>
      </w:r>
    </w:p>
    <w:p w:rsidR="00990F57" w:rsidRDefault="00990F57" w:rsidP="00921683">
      <w:pPr>
        <w:ind w:left="0" w:firstLine="0"/>
      </w:pPr>
    </w:p>
    <w:p w:rsidR="00990F57" w:rsidRDefault="00990F57" w:rsidP="00921683">
      <w:pPr>
        <w:ind w:left="0" w:firstLine="0"/>
      </w:pPr>
    </w:p>
    <w:tbl>
      <w:tblPr>
        <w:tblStyle w:val="Tablaconcuadrcula"/>
        <w:tblW w:w="0" w:type="auto"/>
        <w:tblInd w:w="357" w:type="dxa"/>
        <w:tblLook w:val="04A0"/>
      </w:tblPr>
      <w:tblGrid>
        <w:gridCol w:w="1695"/>
        <w:gridCol w:w="1715"/>
        <w:gridCol w:w="1651"/>
        <w:gridCol w:w="1651"/>
        <w:gridCol w:w="1651"/>
      </w:tblGrid>
      <w:tr w:rsidR="001668CD" w:rsidTr="001668CD">
        <w:tc>
          <w:tcPr>
            <w:tcW w:w="1695" w:type="dxa"/>
          </w:tcPr>
          <w:p w:rsidR="001668CD" w:rsidRDefault="001668CD" w:rsidP="00921683">
            <w:pPr>
              <w:ind w:left="0" w:firstLine="0"/>
              <w:jc w:val="center"/>
            </w:pPr>
            <w:r>
              <w:t>Producto</w:t>
            </w:r>
          </w:p>
        </w:tc>
        <w:tc>
          <w:tcPr>
            <w:tcW w:w="1715" w:type="dxa"/>
          </w:tcPr>
          <w:p w:rsidR="001668CD" w:rsidRDefault="001668CD" w:rsidP="00921683">
            <w:pPr>
              <w:ind w:left="0" w:firstLine="0"/>
              <w:jc w:val="center"/>
            </w:pPr>
          </w:p>
        </w:tc>
        <w:tc>
          <w:tcPr>
            <w:tcW w:w="1651" w:type="dxa"/>
          </w:tcPr>
          <w:p w:rsidR="001668CD" w:rsidRDefault="00925B42" w:rsidP="00921683">
            <w:pPr>
              <w:ind w:left="0" w:firstLine="0"/>
              <w:jc w:val="center"/>
            </w:pPr>
            <w:r>
              <w:t>1º cuatrimestre 2013(</w:t>
            </w:r>
            <w:proofErr w:type="spellStart"/>
            <w:r>
              <w:t>Mill</w:t>
            </w:r>
            <w:proofErr w:type="spellEnd"/>
            <w:r>
              <w:t xml:space="preserve"> U$S)</w:t>
            </w:r>
          </w:p>
        </w:tc>
        <w:tc>
          <w:tcPr>
            <w:tcW w:w="1651" w:type="dxa"/>
          </w:tcPr>
          <w:p w:rsidR="001668CD" w:rsidRDefault="00925B42" w:rsidP="00921683">
            <w:pPr>
              <w:ind w:left="0" w:firstLine="0"/>
              <w:jc w:val="center"/>
            </w:pPr>
            <w:r>
              <w:t>1º cuatrimestre 2014 (</w:t>
            </w:r>
            <w:proofErr w:type="spellStart"/>
            <w:r>
              <w:t>Mill</w:t>
            </w:r>
            <w:proofErr w:type="spellEnd"/>
            <w:r>
              <w:t xml:space="preserve"> U$S)</w:t>
            </w:r>
          </w:p>
        </w:tc>
        <w:tc>
          <w:tcPr>
            <w:tcW w:w="1651" w:type="dxa"/>
          </w:tcPr>
          <w:p w:rsidR="001668CD" w:rsidRDefault="00925B42" w:rsidP="00921683">
            <w:pPr>
              <w:ind w:left="0" w:firstLine="0"/>
              <w:jc w:val="center"/>
            </w:pPr>
            <w:r>
              <w:t>Diferencia</w:t>
            </w:r>
          </w:p>
          <w:p w:rsidR="00990F57" w:rsidRDefault="00990F57" w:rsidP="00921683">
            <w:pPr>
              <w:ind w:left="0" w:firstLine="0"/>
              <w:jc w:val="center"/>
            </w:pPr>
            <w:r>
              <w:t>(</w:t>
            </w:r>
            <w:proofErr w:type="spellStart"/>
            <w:r>
              <w:t>Mill</w:t>
            </w:r>
            <w:proofErr w:type="spellEnd"/>
            <w:r>
              <w:t xml:space="preserve"> U$S)</w:t>
            </w:r>
          </w:p>
        </w:tc>
      </w:tr>
      <w:tr w:rsidR="001668CD" w:rsidTr="001668CD">
        <w:tc>
          <w:tcPr>
            <w:tcW w:w="1695" w:type="dxa"/>
            <w:vMerge w:val="restart"/>
          </w:tcPr>
          <w:p w:rsidR="00925B42" w:rsidRPr="00AF150B" w:rsidRDefault="00990F57" w:rsidP="00921683">
            <w:pPr>
              <w:ind w:left="0" w:firstLine="0"/>
              <w:jc w:val="center"/>
              <w:rPr>
                <w:b/>
              </w:rPr>
            </w:pPr>
            <w:r w:rsidRPr="00AF150B">
              <w:rPr>
                <w:b/>
              </w:rPr>
              <w:t>1.</w:t>
            </w:r>
            <w:r w:rsidR="001943AF" w:rsidRPr="00AF150B">
              <w:rPr>
                <w:b/>
              </w:rPr>
              <w:t xml:space="preserve"> </w:t>
            </w:r>
            <w:r w:rsidR="001668CD" w:rsidRPr="00AF150B">
              <w:rPr>
                <w:b/>
              </w:rPr>
              <w:t>Complejo</w:t>
            </w:r>
          </w:p>
          <w:p w:rsidR="001668CD" w:rsidRPr="00AF150B" w:rsidRDefault="001668CD" w:rsidP="00921683">
            <w:pPr>
              <w:ind w:left="0" w:firstLine="0"/>
              <w:jc w:val="center"/>
              <w:rPr>
                <w:b/>
              </w:rPr>
            </w:pPr>
            <w:r w:rsidRPr="00AF150B">
              <w:rPr>
                <w:b/>
              </w:rPr>
              <w:t>soj</w:t>
            </w:r>
            <w:r w:rsidR="00990F57" w:rsidRPr="00AF150B">
              <w:rPr>
                <w:b/>
              </w:rPr>
              <w:t>a</w:t>
            </w:r>
          </w:p>
        </w:tc>
        <w:tc>
          <w:tcPr>
            <w:tcW w:w="1715" w:type="dxa"/>
          </w:tcPr>
          <w:p w:rsidR="001668CD" w:rsidRDefault="001668CD" w:rsidP="00921683">
            <w:pPr>
              <w:ind w:left="0" w:firstLine="0"/>
              <w:jc w:val="center"/>
            </w:pPr>
            <w:r>
              <w:t>Poroto</w:t>
            </w:r>
          </w:p>
        </w:tc>
        <w:tc>
          <w:tcPr>
            <w:tcW w:w="1651" w:type="dxa"/>
          </w:tcPr>
          <w:p w:rsidR="001668CD" w:rsidRDefault="00925B42" w:rsidP="00921683">
            <w:pPr>
              <w:ind w:left="0" w:firstLine="0"/>
              <w:jc w:val="center"/>
            </w:pPr>
            <w:r>
              <w:t>633</w:t>
            </w:r>
          </w:p>
        </w:tc>
        <w:tc>
          <w:tcPr>
            <w:tcW w:w="1651" w:type="dxa"/>
          </w:tcPr>
          <w:p w:rsidR="001668CD" w:rsidRDefault="00925B42" w:rsidP="00921683">
            <w:pPr>
              <w:ind w:left="0" w:firstLine="0"/>
              <w:jc w:val="center"/>
            </w:pPr>
            <w:r>
              <w:t>672</w:t>
            </w:r>
          </w:p>
        </w:tc>
        <w:tc>
          <w:tcPr>
            <w:tcW w:w="1651" w:type="dxa"/>
          </w:tcPr>
          <w:p w:rsidR="001668CD" w:rsidRDefault="00925B42" w:rsidP="00921683">
            <w:pPr>
              <w:ind w:left="0" w:firstLine="0"/>
              <w:jc w:val="center"/>
            </w:pPr>
            <w:r>
              <w:t>39</w:t>
            </w:r>
          </w:p>
        </w:tc>
      </w:tr>
      <w:tr w:rsidR="00925B42" w:rsidTr="001668CD">
        <w:tc>
          <w:tcPr>
            <w:tcW w:w="1695" w:type="dxa"/>
            <w:vMerge/>
          </w:tcPr>
          <w:p w:rsidR="00925B42" w:rsidRPr="00AF150B" w:rsidRDefault="00925B42" w:rsidP="00921683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925B42" w:rsidRDefault="00925B42" w:rsidP="00921683">
            <w:pPr>
              <w:ind w:left="0" w:firstLine="0"/>
              <w:jc w:val="center"/>
            </w:pPr>
            <w:r>
              <w:t>Subproductos</w:t>
            </w:r>
          </w:p>
        </w:tc>
        <w:tc>
          <w:tcPr>
            <w:tcW w:w="1651" w:type="dxa"/>
          </w:tcPr>
          <w:p w:rsidR="00925B42" w:rsidRDefault="00925B42" w:rsidP="00921683">
            <w:pPr>
              <w:ind w:left="0" w:firstLine="0"/>
              <w:jc w:val="center"/>
            </w:pPr>
            <w:r>
              <w:t>2.763</w:t>
            </w:r>
          </w:p>
        </w:tc>
        <w:tc>
          <w:tcPr>
            <w:tcW w:w="1651" w:type="dxa"/>
          </w:tcPr>
          <w:p w:rsidR="00925B42" w:rsidRDefault="00925B42" w:rsidP="00921683">
            <w:pPr>
              <w:ind w:left="0" w:firstLine="0"/>
              <w:jc w:val="center"/>
            </w:pPr>
            <w:r>
              <w:t>3.538</w:t>
            </w:r>
          </w:p>
        </w:tc>
        <w:tc>
          <w:tcPr>
            <w:tcW w:w="1651" w:type="dxa"/>
          </w:tcPr>
          <w:p w:rsidR="00925B42" w:rsidRDefault="00925B42" w:rsidP="00921683">
            <w:pPr>
              <w:ind w:left="0" w:firstLine="0"/>
              <w:jc w:val="center"/>
            </w:pPr>
            <w:r>
              <w:t>775</w:t>
            </w:r>
          </w:p>
        </w:tc>
      </w:tr>
      <w:tr w:rsidR="00925B42" w:rsidTr="001668CD">
        <w:tc>
          <w:tcPr>
            <w:tcW w:w="1695" w:type="dxa"/>
            <w:vMerge/>
          </w:tcPr>
          <w:p w:rsidR="00925B42" w:rsidRPr="00AF150B" w:rsidRDefault="00925B42" w:rsidP="00921683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925B42" w:rsidRDefault="00925B42" w:rsidP="00921683">
            <w:pPr>
              <w:ind w:left="0" w:firstLine="0"/>
              <w:jc w:val="center"/>
            </w:pPr>
            <w:r>
              <w:t>Aceite</w:t>
            </w:r>
          </w:p>
        </w:tc>
        <w:tc>
          <w:tcPr>
            <w:tcW w:w="1651" w:type="dxa"/>
          </w:tcPr>
          <w:p w:rsidR="00925B42" w:rsidRDefault="00925B42" w:rsidP="00921683">
            <w:pPr>
              <w:ind w:left="0" w:firstLine="0"/>
              <w:jc w:val="center"/>
            </w:pPr>
            <w:r>
              <w:t>990</w:t>
            </w:r>
          </w:p>
        </w:tc>
        <w:tc>
          <w:tcPr>
            <w:tcW w:w="1651" w:type="dxa"/>
          </w:tcPr>
          <w:p w:rsidR="00925B42" w:rsidRDefault="00925B42" w:rsidP="00921683">
            <w:pPr>
              <w:ind w:left="0" w:firstLine="0"/>
              <w:jc w:val="center"/>
            </w:pPr>
            <w:r>
              <w:t>984</w:t>
            </w:r>
          </w:p>
        </w:tc>
        <w:tc>
          <w:tcPr>
            <w:tcW w:w="1651" w:type="dxa"/>
          </w:tcPr>
          <w:p w:rsidR="00925B42" w:rsidRDefault="00925B42" w:rsidP="00921683">
            <w:pPr>
              <w:ind w:left="0" w:firstLine="0"/>
              <w:jc w:val="center"/>
            </w:pPr>
            <w:r>
              <w:t>-6</w:t>
            </w:r>
          </w:p>
        </w:tc>
      </w:tr>
      <w:tr w:rsidR="00925B42" w:rsidTr="001668CD">
        <w:tc>
          <w:tcPr>
            <w:tcW w:w="1695" w:type="dxa"/>
            <w:vMerge/>
          </w:tcPr>
          <w:p w:rsidR="00925B42" w:rsidRPr="00AF150B" w:rsidRDefault="00925B42" w:rsidP="00921683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TOTAL</w:t>
            </w:r>
          </w:p>
        </w:tc>
        <w:tc>
          <w:tcPr>
            <w:tcW w:w="1651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4.386</w:t>
            </w:r>
          </w:p>
        </w:tc>
        <w:tc>
          <w:tcPr>
            <w:tcW w:w="1651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5.194</w:t>
            </w:r>
          </w:p>
        </w:tc>
        <w:tc>
          <w:tcPr>
            <w:tcW w:w="1651" w:type="dxa"/>
          </w:tcPr>
          <w:p w:rsidR="00925B42" w:rsidRPr="00990F57" w:rsidRDefault="00925B42" w:rsidP="00921683">
            <w:pPr>
              <w:ind w:left="0" w:firstLine="0"/>
              <w:jc w:val="center"/>
              <w:rPr>
                <w:b/>
              </w:rPr>
            </w:pPr>
            <w:r w:rsidRPr="00990F57">
              <w:rPr>
                <w:b/>
              </w:rPr>
              <w:t>808</w:t>
            </w:r>
          </w:p>
        </w:tc>
      </w:tr>
      <w:tr w:rsidR="00925B42" w:rsidTr="00990F57">
        <w:tc>
          <w:tcPr>
            <w:tcW w:w="3410" w:type="dxa"/>
            <w:gridSpan w:val="2"/>
          </w:tcPr>
          <w:p w:rsidR="00925B42" w:rsidRPr="00AF150B" w:rsidRDefault="001943AF" w:rsidP="001943AF">
            <w:pPr>
              <w:ind w:left="0" w:firstLine="0"/>
              <w:rPr>
                <w:b/>
              </w:rPr>
            </w:pPr>
            <w:r w:rsidRPr="00AF150B">
              <w:rPr>
                <w:b/>
              </w:rPr>
              <w:t xml:space="preserve">    </w:t>
            </w:r>
            <w:r w:rsidR="00990F57" w:rsidRPr="00AF150B">
              <w:rPr>
                <w:b/>
              </w:rPr>
              <w:t>2.</w:t>
            </w:r>
            <w:r w:rsidRPr="00AF150B">
              <w:rPr>
                <w:b/>
              </w:rPr>
              <w:t xml:space="preserve"> </w:t>
            </w:r>
            <w:r w:rsidR="00925B42" w:rsidRPr="00AF150B">
              <w:rPr>
                <w:b/>
              </w:rPr>
              <w:t>Maíz</w:t>
            </w:r>
          </w:p>
        </w:tc>
        <w:tc>
          <w:tcPr>
            <w:tcW w:w="1651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2.118</w:t>
            </w:r>
          </w:p>
        </w:tc>
        <w:tc>
          <w:tcPr>
            <w:tcW w:w="1651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653</w:t>
            </w:r>
          </w:p>
        </w:tc>
        <w:tc>
          <w:tcPr>
            <w:tcW w:w="1651" w:type="dxa"/>
          </w:tcPr>
          <w:p w:rsidR="00925B42" w:rsidRPr="00990F57" w:rsidRDefault="00925B42" w:rsidP="00921683">
            <w:pPr>
              <w:ind w:left="0" w:firstLine="0"/>
              <w:jc w:val="center"/>
              <w:rPr>
                <w:b/>
              </w:rPr>
            </w:pPr>
            <w:r w:rsidRPr="00990F57">
              <w:rPr>
                <w:b/>
              </w:rPr>
              <w:t>- 1.465</w:t>
            </w:r>
          </w:p>
        </w:tc>
      </w:tr>
      <w:tr w:rsidR="00925B42" w:rsidTr="001668CD">
        <w:tc>
          <w:tcPr>
            <w:tcW w:w="1695" w:type="dxa"/>
            <w:vMerge w:val="restart"/>
          </w:tcPr>
          <w:p w:rsidR="00925B42" w:rsidRPr="00AF150B" w:rsidRDefault="001943AF" w:rsidP="001943AF">
            <w:pPr>
              <w:ind w:left="0" w:firstLine="0"/>
              <w:rPr>
                <w:b/>
              </w:rPr>
            </w:pPr>
            <w:r w:rsidRPr="00AF150B">
              <w:rPr>
                <w:b/>
              </w:rPr>
              <w:t xml:space="preserve">    </w:t>
            </w:r>
            <w:r w:rsidR="00990F57" w:rsidRPr="00AF150B">
              <w:rPr>
                <w:b/>
              </w:rPr>
              <w:t>3.</w:t>
            </w:r>
            <w:r w:rsidR="00925B42" w:rsidRPr="00AF150B">
              <w:rPr>
                <w:b/>
              </w:rPr>
              <w:t>Trigo</w:t>
            </w:r>
          </w:p>
        </w:tc>
        <w:tc>
          <w:tcPr>
            <w:tcW w:w="1715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Grano</w:t>
            </w:r>
          </w:p>
        </w:tc>
        <w:tc>
          <w:tcPr>
            <w:tcW w:w="1651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661</w:t>
            </w:r>
          </w:p>
        </w:tc>
        <w:tc>
          <w:tcPr>
            <w:tcW w:w="1651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352</w:t>
            </w:r>
          </w:p>
        </w:tc>
        <w:tc>
          <w:tcPr>
            <w:tcW w:w="1651" w:type="dxa"/>
          </w:tcPr>
          <w:p w:rsidR="00925B42" w:rsidRDefault="00925B42" w:rsidP="00921683">
            <w:pPr>
              <w:ind w:left="0" w:firstLine="0"/>
              <w:jc w:val="center"/>
            </w:pPr>
            <w:r>
              <w:t>-309</w:t>
            </w:r>
          </w:p>
        </w:tc>
      </w:tr>
      <w:tr w:rsidR="00925B42" w:rsidTr="001668CD">
        <w:tc>
          <w:tcPr>
            <w:tcW w:w="1695" w:type="dxa"/>
            <w:vMerge/>
          </w:tcPr>
          <w:p w:rsidR="00925B42" w:rsidRPr="00AF150B" w:rsidRDefault="00925B42" w:rsidP="00921683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Harina</w:t>
            </w:r>
          </w:p>
        </w:tc>
        <w:tc>
          <w:tcPr>
            <w:tcW w:w="1651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32</w:t>
            </w:r>
          </w:p>
        </w:tc>
        <w:tc>
          <w:tcPr>
            <w:tcW w:w="1651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35</w:t>
            </w:r>
          </w:p>
        </w:tc>
        <w:tc>
          <w:tcPr>
            <w:tcW w:w="1651" w:type="dxa"/>
          </w:tcPr>
          <w:p w:rsidR="00925B42" w:rsidRDefault="00925B42" w:rsidP="00921683">
            <w:pPr>
              <w:ind w:left="0" w:firstLine="0"/>
              <w:jc w:val="center"/>
            </w:pPr>
            <w:r>
              <w:t>3</w:t>
            </w:r>
          </w:p>
        </w:tc>
      </w:tr>
      <w:tr w:rsidR="00925B42" w:rsidTr="001668CD">
        <w:tc>
          <w:tcPr>
            <w:tcW w:w="1695" w:type="dxa"/>
            <w:vMerge/>
          </w:tcPr>
          <w:p w:rsidR="00925B42" w:rsidRPr="00AF150B" w:rsidRDefault="00925B42" w:rsidP="00921683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TOTAL</w:t>
            </w:r>
          </w:p>
        </w:tc>
        <w:tc>
          <w:tcPr>
            <w:tcW w:w="1651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693</w:t>
            </w:r>
          </w:p>
        </w:tc>
        <w:tc>
          <w:tcPr>
            <w:tcW w:w="1651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387</w:t>
            </w:r>
          </w:p>
        </w:tc>
        <w:tc>
          <w:tcPr>
            <w:tcW w:w="1651" w:type="dxa"/>
          </w:tcPr>
          <w:p w:rsidR="00925B42" w:rsidRPr="00990F57" w:rsidRDefault="00925B42" w:rsidP="00921683">
            <w:pPr>
              <w:ind w:left="0" w:firstLine="0"/>
              <w:jc w:val="center"/>
              <w:rPr>
                <w:b/>
              </w:rPr>
            </w:pPr>
            <w:r w:rsidRPr="00990F57">
              <w:rPr>
                <w:b/>
              </w:rPr>
              <w:t>-306</w:t>
            </w:r>
          </w:p>
        </w:tc>
      </w:tr>
      <w:tr w:rsidR="00925B42" w:rsidTr="00990F57">
        <w:tc>
          <w:tcPr>
            <w:tcW w:w="3410" w:type="dxa"/>
            <w:gridSpan w:val="2"/>
          </w:tcPr>
          <w:p w:rsidR="00925B42" w:rsidRPr="00AF150B" w:rsidRDefault="001943AF" w:rsidP="001943AF">
            <w:pPr>
              <w:ind w:left="0" w:firstLine="0"/>
              <w:rPr>
                <w:b/>
              </w:rPr>
            </w:pPr>
            <w:r w:rsidRPr="00AF150B">
              <w:rPr>
                <w:b/>
              </w:rPr>
              <w:t xml:space="preserve">    </w:t>
            </w:r>
            <w:r w:rsidR="00990F57" w:rsidRPr="00AF150B">
              <w:rPr>
                <w:b/>
              </w:rPr>
              <w:t>4.</w:t>
            </w:r>
            <w:r w:rsidRPr="00AF150B">
              <w:rPr>
                <w:b/>
              </w:rPr>
              <w:t xml:space="preserve"> </w:t>
            </w:r>
            <w:r w:rsidR="00925B42" w:rsidRPr="00AF150B">
              <w:rPr>
                <w:b/>
              </w:rPr>
              <w:t>Cebada</w:t>
            </w:r>
          </w:p>
        </w:tc>
        <w:tc>
          <w:tcPr>
            <w:tcW w:w="1651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794</w:t>
            </w:r>
          </w:p>
        </w:tc>
        <w:tc>
          <w:tcPr>
            <w:tcW w:w="1651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545</w:t>
            </w:r>
          </w:p>
        </w:tc>
        <w:tc>
          <w:tcPr>
            <w:tcW w:w="1651" w:type="dxa"/>
          </w:tcPr>
          <w:p w:rsidR="00925B42" w:rsidRPr="00990F57" w:rsidRDefault="00925B42" w:rsidP="00921683">
            <w:pPr>
              <w:ind w:left="0" w:firstLine="0"/>
              <w:jc w:val="center"/>
              <w:rPr>
                <w:b/>
              </w:rPr>
            </w:pPr>
            <w:r w:rsidRPr="00990F57">
              <w:rPr>
                <w:b/>
              </w:rPr>
              <w:t>-249</w:t>
            </w:r>
          </w:p>
        </w:tc>
      </w:tr>
      <w:tr w:rsidR="00925B42" w:rsidTr="00990F57">
        <w:tc>
          <w:tcPr>
            <w:tcW w:w="3410" w:type="dxa"/>
            <w:gridSpan w:val="2"/>
          </w:tcPr>
          <w:p w:rsidR="00925B42" w:rsidRPr="00AF150B" w:rsidRDefault="001943AF" w:rsidP="001943AF">
            <w:pPr>
              <w:ind w:left="0" w:firstLine="0"/>
              <w:rPr>
                <w:b/>
              </w:rPr>
            </w:pPr>
            <w:r w:rsidRPr="00AF150B">
              <w:rPr>
                <w:b/>
              </w:rPr>
              <w:t xml:space="preserve">    </w:t>
            </w:r>
            <w:r w:rsidR="00990F57" w:rsidRPr="00AF150B">
              <w:rPr>
                <w:b/>
              </w:rPr>
              <w:t>5.</w:t>
            </w:r>
            <w:r w:rsidRPr="00AF150B">
              <w:rPr>
                <w:b/>
              </w:rPr>
              <w:t xml:space="preserve"> </w:t>
            </w:r>
            <w:r w:rsidR="00925B42" w:rsidRPr="00AF150B">
              <w:rPr>
                <w:b/>
              </w:rPr>
              <w:t>Sorgo</w:t>
            </w:r>
          </w:p>
        </w:tc>
        <w:tc>
          <w:tcPr>
            <w:tcW w:w="1651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214</w:t>
            </w:r>
          </w:p>
        </w:tc>
        <w:tc>
          <w:tcPr>
            <w:tcW w:w="1651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20</w:t>
            </w:r>
          </w:p>
        </w:tc>
        <w:tc>
          <w:tcPr>
            <w:tcW w:w="1651" w:type="dxa"/>
          </w:tcPr>
          <w:p w:rsidR="00925B42" w:rsidRPr="00990F57" w:rsidRDefault="00925B42" w:rsidP="00921683">
            <w:pPr>
              <w:ind w:left="0" w:firstLine="0"/>
              <w:jc w:val="center"/>
              <w:rPr>
                <w:b/>
              </w:rPr>
            </w:pPr>
            <w:r w:rsidRPr="00990F57">
              <w:rPr>
                <w:b/>
              </w:rPr>
              <w:t>-188</w:t>
            </w:r>
          </w:p>
        </w:tc>
      </w:tr>
      <w:tr w:rsidR="00925B42" w:rsidTr="001668CD">
        <w:tc>
          <w:tcPr>
            <w:tcW w:w="1695" w:type="dxa"/>
            <w:vMerge w:val="restart"/>
          </w:tcPr>
          <w:p w:rsidR="00925B42" w:rsidRPr="00AF150B" w:rsidRDefault="00990F57" w:rsidP="00921683">
            <w:pPr>
              <w:ind w:left="0" w:firstLine="0"/>
              <w:jc w:val="center"/>
              <w:rPr>
                <w:b/>
              </w:rPr>
            </w:pPr>
            <w:r w:rsidRPr="00AF150B">
              <w:rPr>
                <w:b/>
              </w:rPr>
              <w:t>6.</w:t>
            </w:r>
            <w:r w:rsidR="00925B42" w:rsidRPr="00AF150B">
              <w:rPr>
                <w:b/>
              </w:rPr>
              <w:t>Complejo Girasol</w:t>
            </w:r>
          </w:p>
        </w:tc>
        <w:tc>
          <w:tcPr>
            <w:tcW w:w="1715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Semilla</w:t>
            </w:r>
          </w:p>
        </w:tc>
        <w:tc>
          <w:tcPr>
            <w:tcW w:w="1651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38</w:t>
            </w:r>
          </w:p>
        </w:tc>
        <w:tc>
          <w:tcPr>
            <w:tcW w:w="1651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34</w:t>
            </w:r>
          </w:p>
        </w:tc>
        <w:tc>
          <w:tcPr>
            <w:tcW w:w="1651" w:type="dxa"/>
          </w:tcPr>
          <w:p w:rsidR="00925B42" w:rsidRDefault="00925B42" w:rsidP="00921683">
            <w:pPr>
              <w:ind w:left="0" w:firstLine="0"/>
              <w:jc w:val="center"/>
            </w:pPr>
            <w:r>
              <w:t>-4</w:t>
            </w:r>
          </w:p>
        </w:tc>
      </w:tr>
      <w:tr w:rsidR="00925B42" w:rsidTr="001668CD">
        <w:tc>
          <w:tcPr>
            <w:tcW w:w="1695" w:type="dxa"/>
            <w:vMerge/>
          </w:tcPr>
          <w:p w:rsidR="00925B42" w:rsidRDefault="00925B42" w:rsidP="00921683">
            <w:pPr>
              <w:ind w:left="0" w:firstLine="0"/>
              <w:jc w:val="center"/>
            </w:pPr>
          </w:p>
        </w:tc>
        <w:tc>
          <w:tcPr>
            <w:tcW w:w="1715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Subproducto</w:t>
            </w:r>
          </w:p>
        </w:tc>
        <w:tc>
          <w:tcPr>
            <w:tcW w:w="1651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75</w:t>
            </w:r>
          </w:p>
        </w:tc>
        <w:tc>
          <w:tcPr>
            <w:tcW w:w="1651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33</w:t>
            </w:r>
          </w:p>
        </w:tc>
        <w:tc>
          <w:tcPr>
            <w:tcW w:w="1651" w:type="dxa"/>
          </w:tcPr>
          <w:p w:rsidR="00925B42" w:rsidRDefault="00925B42" w:rsidP="00921683">
            <w:pPr>
              <w:ind w:left="0" w:firstLine="0"/>
              <w:jc w:val="center"/>
            </w:pPr>
            <w:r>
              <w:t>-42</w:t>
            </w:r>
          </w:p>
        </w:tc>
      </w:tr>
      <w:tr w:rsidR="00925B42" w:rsidTr="001668CD">
        <w:tc>
          <w:tcPr>
            <w:tcW w:w="1695" w:type="dxa"/>
            <w:vMerge/>
          </w:tcPr>
          <w:p w:rsidR="00925B42" w:rsidRDefault="00925B42" w:rsidP="00921683">
            <w:pPr>
              <w:ind w:left="0" w:firstLine="0"/>
              <w:jc w:val="center"/>
            </w:pPr>
          </w:p>
        </w:tc>
        <w:tc>
          <w:tcPr>
            <w:tcW w:w="1715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Aceite</w:t>
            </w:r>
          </w:p>
        </w:tc>
        <w:tc>
          <w:tcPr>
            <w:tcW w:w="1651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254</w:t>
            </w:r>
          </w:p>
        </w:tc>
        <w:tc>
          <w:tcPr>
            <w:tcW w:w="1651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130</w:t>
            </w:r>
          </w:p>
        </w:tc>
        <w:tc>
          <w:tcPr>
            <w:tcW w:w="1651" w:type="dxa"/>
          </w:tcPr>
          <w:p w:rsidR="00925B42" w:rsidRDefault="00925B42" w:rsidP="00921683">
            <w:pPr>
              <w:ind w:left="0" w:firstLine="0"/>
              <w:jc w:val="center"/>
            </w:pPr>
            <w:r>
              <w:t>-120</w:t>
            </w:r>
          </w:p>
        </w:tc>
      </w:tr>
      <w:tr w:rsidR="00925B42" w:rsidRPr="00990F57" w:rsidTr="001668CD">
        <w:tc>
          <w:tcPr>
            <w:tcW w:w="1695" w:type="dxa"/>
            <w:vMerge/>
          </w:tcPr>
          <w:p w:rsidR="00925B42" w:rsidRDefault="00925B42" w:rsidP="00921683">
            <w:pPr>
              <w:ind w:left="0" w:firstLine="0"/>
              <w:jc w:val="center"/>
            </w:pPr>
          </w:p>
        </w:tc>
        <w:tc>
          <w:tcPr>
            <w:tcW w:w="1715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TOTAL</w:t>
            </w:r>
          </w:p>
        </w:tc>
        <w:tc>
          <w:tcPr>
            <w:tcW w:w="1651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367</w:t>
            </w:r>
          </w:p>
        </w:tc>
        <w:tc>
          <w:tcPr>
            <w:tcW w:w="1651" w:type="dxa"/>
          </w:tcPr>
          <w:p w:rsidR="00925B42" w:rsidRPr="00925B42" w:rsidRDefault="00925B42" w:rsidP="00921683">
            <w:pPr>
              <w:ind w:left="0" w:firstLine="0"/>
              <w:jc w:val="center"/>
            </w:pPr>
            <w:r w:rsidRPr="00925B42">
              <w:t>197</w:t>
            </w:r>
          </w:p>
        </w:tc>
        <w:tc>
          <w:tcPr>
            <w:tcW w:w="1651" w:type="dxa"/>
          </w:tcPr>
          <w:p w:rsidR="00925B42" w:rsidRPr="00990F57" w:rsidRDefault="00925B42" w:rsidP="00921683">
            <w:pPr>
              <w:ind w:left="0" w:firstLine="0"/>
              <w:jc w:val="center"/>
              <w:rPr>
                <w:b/>
              </w:rPr>
            </w:pPr>
            <w:r w:rsidRPr="00990F57">
              <w:rPr>
                <w:b/>
              </w:rPr>
              <w:t>-170</w:t>
            </w:r>
          </w:p>
        </w:tc>
      </w:tr>
      <w:tr w:rsidR="00990F57" w:rsidTr="00990F57">
        <w:tc>
          <w:tcPr>
            <w:tcW w:w="6712" w:type="dxa"/>
            <w:gridSpan w:val="4"/>
          </w:tcPr>
          <w:p w:rsidR="00990F57" w:rsidRPr="00990F57" w:rsidRDefault="00990F57" w:rsidP="00921683">
            <w:pPr>
              <w:ind w:left="0" w:firstLine="0"/>
              <w:jc w:val="center"/>
              <w:rPr>
                <w:b/>
                <w:color w:val="FF0000"/>
              </w:rPr>
            </w:pPr>
            <w:r w:rsidRPr="00990F57">
              <w:rPr>
                <w:b/>
                <w:color w:val="FF0000"/>
              </w:rPr>
              <w:t xml:space="preserve">Diferencia exportaciones de los principales cultivo agrícolas </w:t>
            </w:r>
          </w:p>
        </w:tc>
        <w:tc>
          <w:tcPr>
            <w:tcW w:w="1651" w:type="dxa"/>
          </w:tcPr>
          <w:p w:rsidR="00990F57" w:rsidRPr="00990F57" w:rsidRDefault="00990F57" w:rsidP="00921683">
            <w:pPr>
              <w:ind w:left="0" w:firstLine="0"/>
              <w:jc w:val="center"/>
              <w:rPr>
                <w:b/>
                <w:color w:val="FF0000"/>
              </w:rPr>
            </w:pPr>
            <w:r w:rsidRPr="00990F57">
              <w:rPr>
                <w:b/>
                <w:color w:val="FF0000"/>
              </w:rPr>
              <w:t>- 1.570</w:t>
            </w:r>
          </w:p>
        </w:tc>
      </w:tr>
    </w:tbl>
    <w:p w:rsidR="00921683" w:rsidRDefault="00921683" w:rsidP="00921683">
      <w:pPr>
        <w:ind w:left="0" w:firstLine="0"/>
      </w:pPr>
      <w:r>
        <w:t>Elaboración propia con datos del INDEC</w:t>
      </w:r>
    </w:p>
    <w:p w:rsidR="00963A13" w:rsidRDefault="00963A13" w:rsidP="00921683">
      <w:pPr>
        <w:ind w:left="0" w:firstLine="0"/>
      </w:pPr>
    </w:p>
    <w:p w:rsidR="001668CD" w:rsidRDefault="001668CD" w:rsidP="00921683">
      <w:pPr>
        <w:ind w:left="0" w:firstLine="0"/>
      </w:pPr>
    </w:p>
    <w:p w:rsidR="00737445" w:rsidRDefault="00737445" w:rsidP="00921683">
      <w:pPr>
        <w:ind w:left="0" w:firstLine="0"/>
      </w:pPr>
    </w:p>
    <w:p w:rsidR="00737445" w:rsidRDefault="00737445" w:rsidP="00921683">
      <w:pPr>
        <w:ind w:left="0" w:firstLine="0"/>
      </w:pPr>
      <w:r>
        <w:t>Gráfico 1</w:t>
      </w:r>
    </w:p>
    <w:p w:rsidR="002F2EBB" w:rsidRDefault="002F2EBB" w:rsidP="00921683">
      <w:pPr>
        <w:ind w:left="0" w:firstLine="0"/>
      </w:pPr>
    </w:p>
    <w:p w:rsidR="00737445" w:rsidRDefault="00737445" w:rsidP="00921683">
      <w:pPr>
        <w:ind w:left="0" w:firstLine="0"/>
      </w:pPr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7445" w:rsidRDefault="00737445" w:rsidP="00921683">
      <w:pPr>
        <w:ind w:left="0" w:firstLine="0"/>
      </w:pPr>
    </w:p>
    <w:p w:rsidR="00737445" w:rsidRDefault="00737445" w:rsidP="00921683">
      <w:pPr>
        <w:ind w:left="0" w:firstLine="0"/>
      </w:pPr>
    </w:p>
    <w:p w:rsidR="00737445" w:rsidRDefault="00737445" w:rsidP="00921683">
      <w:pPr>
        <w:ind w:left="0" w:firstLine="0"/>
      </w:pPr>
    </w:p>
    <w:p w:rsidR="00963A13" w:rsidRDefault="00963A13" w:rsidP="00921683">
      <w:pPr>
        <w:ind w:left="0" w:firstLine="0"/>
      </w:pPr>
    </w:p>
    <w:p w:rsidR="00963A13" w:rsidRDefault="00963A13" w:rsidP="00921683">
      <w:pPr>
        <w:ind w:left="0" w:firstLine="0"/>
      </w:pPr>
    </w:p>
    <w:p w:rsidR="00737445" w:rsidRDefault="00737445" w:rsidP="00921683">
      <w:pPr>
        <w:ind w:left="0" w:firstLine="0"/>
      </w:pPr>
    </w:p>
    <w:p w:rsidR="00737445" w:rsidRDefault="00737445" w:rsidP="00921683">
      <w:pPr>
        <w:ind w:left="0" w:firstLine="0"/>
      </w:pPr>
    </w:p>
    <w:p w:rsidR="002F2EBB" w:rsidRPr="007844E5" w:rsidRDefault="007844E5" w:rsidP="007844E5">
      <w:pPr>
        <w:pStyle w:val="Prrafodelista"/>
        <w:numPr>
          <w:ilvl w:val="0"/>
          <w:numId w:val="2"/>
        </w:numPr>
        <w:rPr>
          <w:b/>
        </w:rPr>
      </w:pPr>
      <w:r w:rsidRPr="007844E5">
        <w:rPr>
          <w:b/>
        </w:rPr>
        <w:t>Conclusiones:</w:t>
      </w:r>
    </w:p>
    <w:p w:rsidR="007844E5" w:rsidRDefault="007844E5" w:rsidP="007844E5">
      <w:pPr>
        <w:ind w:left="360" w:firstLine="0"/>
      </w:pPr>
    </w:p>
    <w:p w:rsidR="007844E5" w:rsidRDefault="007844E5" w:rsidP="007844E5">
      <w:pPr>
        <w:pStyle w:val="Prrafodelista"/>
        <w:ind w:left="0" w:firstLine="0"/>
      </w:pPr>
    </w:p>
    <w:p w:rsidR="007844E5" w:rsidRDefault="002F2EBB" w:rsidP="007844E5">
      <w:pPr>
        <w:pStyle w:val="Prrafodelista"/>
        <w:numPr>
          <w:ilvl w:val="0"/>
          <w:numId w:val="3"/>
        </w:numPr>
      </w:pPr>
      <w:r>
        <w:t>Dentro del sector agrícola, el complejo sojero es el único donde las exportaciones del 1º cuatrimestre de 2014 fueron superiores al mismo período que de 2013.</w:t>
      </w:r>
    </w:p>
    <w:p w:rsidR="007844E5" w:rsidRDefault="00921683" w:rsidP="007844E5">
      <w:pPr>
        <w:pStyle w:val="Prrafodelista"/>
        <w:numPr>
          <w:ilvl w:val="0"/>
          <w:numId w:val="3"/>
        </w:numPr>
      </w:pPr>
      <w:r>
        <w:t>A pesar de que el complejo sojero tuvo mayores exportaciones en el 1º cuatrimestre de 2014 comparado con el mismo períod</w:t>
      </w:r>
      <w:r w:rsidR="001E4DE0">
        <w:t>o de 2013, el resultado final teniendo en cuenta</w:t>
      </w:r>
      <w:r>
        <w:t xml:space="preserve"> los 6 principales cultivos agrícolas del país es negativo.</w:t>
      </w:r>
    </w:p>
    <w:p w:rsidR="007844E5" w:rsidRDefault="001E4DE0" w:rsidP="007844E5">
      <w:pPr>
        <w:pStyle w:val="Prrafodelista"/>
        <w:numPr>
          <w:ilvl w:val="0"/>
          <w:numId w:val="3"/>
        </w:numPr>
      </w:pPr>
      <w:r>
        <w:t xml:space="preserve">En el 1º cuatrimestre de 2014 ingresaron </w:t>
      </w:r>
      <w:r w:rsidR="00921683">
        <w:t xml:space="preserve"> 1.570 millones de dólares</w:t>
      </w:r>
      <w:r>
        <w:t xml:space="preserve"> menos que en el mismo período de 2013 por exportaciones agrícolas</w:t>
      </w:r>
      <w:r w:rsidR="00921683">
        <w:t>.</w:t>
      </w:r>
    </w:p>
    <w:p w:rsidR="007844E5" w:rsidRDefault="002F2EBB" w:rsidP="007844E5">
      <w:pPr>
        <w:pStyle w:val="Prrafodelista"/>
        <w:numPr>
          <w:ilvl w:val="0"/>
          <w:numId w:val="3"/>
        </w:numPr>
      </w:pPr>
      <w:r>
        <w:t>El cultivo con mayor saldo negativo es el maíz con 1.465 millones de dólares menos de exportación en el 1º cuatrimestre de 2014 comparado con el 2013.</w:t>
      </w:r>
    </w:p>
    <w:p w:rsidR="007844E5" w:rsidRDefault="00633252" w:rsidP="007844E5">
      <w:pPr>
        <w:pStyle w:val="Prrafodelista"/>
        <w:numPr>
          <w:ilvl w:val="0"/>
          <w:numId w:val="3"/>
        </w:numPr>
      </w:pPr>
      <w:r>
        <w:t>El segundo en incidencia negativa es el trigo con 306 millones de toneladas.</w:t>
      </w:r>
    </w:p>
    <w:p w:rsidR="00CE2DFE" w:rsidRDefault="00CE2DFE" w:rsidP="00CE2DFE">
      <w:pPr>
        <w:pStyle w:val="Prrafodelista"/>
        <w:numPr>
          <w:ilvl w:val="0"/>
          <w:numId w:val="3"/>
        </w:numPr>
      </w:pPr>
      <w:r>
        <w:t>Esto demuestra que las malas políticas implementadas por el Gobierno Nacional –alta presión impositiva e intervenciones negativas del mercado- en estos 2 cultivos, trajeron consecuencia negativa en sus saldos exportables.</w:t>
      </w:r>
    </w:p>
    <w:p w:rsidR="00633252" w:rsidRDefault="00633252" w:rsidP="007844E5">
      <w:pPr>
        <w:pStyle w:val="Prrafodelista"/>
        <w:numPr>
          <w:ilvl w:val="0"/>
          <w:numId w:val="3"/>
        </w:numPr>
      </w:pPr>
      <w:r>
        <w:t>Si anal</w:t>
      </w:r>
      <w:r w:rsidR="00921683">
        <w:t xml:space="preserve">izamos de estos 6 cultivos </w:t>
      </w:r>
      <w:r>
        <w:t>las exportaciones como  producto primar</w:t>
      </w:r>
      <w:r w:rsidR="00921683">
        <w:t xml:space="preserve">io (Cuadro 3), concluiremos </w:t>
      </w:r>
      <w:r w:rsidR="00CE2DFE">
        <w:t xml:space="preserve">que </w:t>
      </w:r>
      <w:r w:rsidR="00921683">
        <w:t>d</w:t>
      </w:r>
      <w:r>
        <w:t xml:space="preserve">el </w:t>
      </w:r>
      <w:r w:rsidR="00921683">
        <w:t xml:space="preserve">total del </w:t>
      </w:r>
      <w:r>
        <w:t>saldo negativo de las exportaciones de productos primarios</w:t>
      </w:r>
      <w:r w:rsidR="00CE2DFE">
        <w:t xml:space="preserve"> en el</w:t>
      </w:r>
      <w:r w:rsidR="00921683">
        <w:t xml:space="preserve"> 1º cuatrimestre de 2014 comparada con el 2013, el sector</w:t>
      </w:r>
      <w:r>
        <w:t xml:space="preserve"> </w:t>
      </w:r>
      <w:r w:rsidR="00921683">
        <w:t>agrícola</w:t>
      </w:r>
      <w:r>
        <w:t xml:space="preserve"> tuvo una incidencia del</w:t>
      </w:r>
      <w:r w:rsidR="00CE2DFE">
        <w:t xml:space="preserve"> 91,4 % del</w:t>
      </w:r>
      <w:r w:rsidR="00921683">
        <w:t xml:space="preserve"> resultado final.</w:t>
      </w:r>
    </w:p>
    <w:p w:rsidR="00CE2DFE" w:rsidRDefault="00CE2DFE" w:rsidP="00CE2DFE">
      <w:pPr>
        <w:ind w:left="2130" w:firstLine="0"/>
      </w:pPr>
    </w:p>
    <w:p w:rsidR="00CE2DFE" w:rsidRDefault="00CE2DFE" w:rsidP="00921683">
      <w:pPr>
        <w:ind w:left="0" w:firstLine="0"/>
      </w:pPr>
    </w:p>
    <w:p w:rsidR="00921683" w:rsidRDefault="00921683" w:rsidP="00921683">
      <w:pPr>
        <w:ind w:left="0" w:firstLine="0"/>
      </w:pPr>
      <w:r>
        <w:t>Cuadro 3: Incidencia de las exportaciones primarias agrícolas en el total de las exportaciones de productos primarios.</w:t>
      </w:r>
    </w:p>
    <w:p w:rsidR="00633252" w:rsidRDefault="00633252" w:rsidP="00921683">
      <w:pPr>
        <w:ind w:left="0" w:firstLine="0"/>
      </w:pPr>
    </w:p>
    <w:tbl>
      <w:tblPr>
        <w:tblStyle w:val="Tablaconcuadrcula"/>
        <w:tblW w:w="0" w:type="auto"/>
        <w:tblInd w:w="357" w:type="dxa"/>
        <w:tblLook w:val="04A0"/>
      </w:tblPr>
      <w:tblGrid>
        <w:gridCol w:w="1695"/>
        <w:gridCol w:w="1715"/>
        <w:gridCol w:w="1651"/>
        <w:gridCol w:w="1651"/>
        <w:gridCol w:w="1651"/>
      </w:tblGrid>
      <w:tr w:rsidR="00633252" w:rsidTr="00D558F5">
        <w:tc>
          <w:tcPr>
            <w:tcW w:w="1695" w:type="dxa"/>
          </w:tcPr>
          <w:p w:rsidR="00633252" w:rsidRDefault="00633252" w:rsidP="00921683">
            <w:pPr>
              <w:ind w:left="0" w:firstLine="0"/>
              <w:jc w:val="center"/>
            </w:pPr>
            <w:r>
              <w:t>Producto</w:t>
            </w:r>
          </w:p>
        </w:tc>
        <w:tc>
          <w:tcPr>
            <w:tcW w:w="1715" w:type="dxa"/>
          </w:tcPr>
          <w:p w:rsidR="00633252" w:rsidRDefault="00633252" w:rsidP="00921683">
            <w:pPr>
              <w:ind w:left="0" w:firstLine="0"/>
              <w:jc w:val="center"/>
            </w:pPr>
          </w:p>
        </w:tc>
        <w:tc>
          <w:tcPr>
            <w:tcW w:w="1651" w:type="dxa"/>
          </w:tcPr>
          <w:p w:rsidR="00633252" w:rsidRDefault="00633252" w:rsidP="00921683">
            <w:pPr>
              <w:ind w:left="0" w:firstLine="0"/>
              <w:jc w:val="center"/>
            </w:pPr>
            <w:r>
              <w:t>1º cuatrimestre 2013(</w:t>
            </w:r>
            <w:proofErr w:type="spellStart"/>
            <w:r>
              <w:t>Mill</w:t>
            </w:r>
            <w:proofErr w:type="spellEnd"/>
            <w:r>
              <w:t xml:space="preserve"> U$S)</w:t>
            </w:r>
          </w:p>
        </w:tc>
        <w:tc>
          <w:tcPr>
            <w:tcW w:w="1651" w:type="dxa"/>
          </w:tcPr>
          <w:p w:rsidR="00633252" w:rsidRDefault="00633252" w:rsidP="00921683">
            <w:pPr>
              <w:ind w:left="0" w:firstLine="0"/>
              <w:jc w:val="center"/>
            </w:pPr>
            <w:r>
              <w:t>1º cuatrimestre 2014 (</w:t>
            </w:r>
            <w:proofErr w:type="spellStart"/>
            <w:r>
              <w:t>Mill</w:t>
            </w:r>
            <w:proofErr w:type="spellEnd"/>
            <w:r>
              <w:t xml:space="preserve"> U$S)</w:t>
            </w:r>
          </w:p>
        </w:tc>
        <w:tc>
          <w:tcPr>
            <w:tcW w:w="1651" w:type="dxa"/>
          </w:tcPr>
          <w:p w:rsidR="00633252" w:rsidRPr="00921683" w:rsidRDefault="00633252" w:rsidP="00921683">
            <w:pPr>
              <w:ind w:left="0" w:firstLine="0"/>
              <w:jc w:val="center"/>
            </w:pPr>
            <w:r w:rsidRPr="00921683">
              <w:t>Diferencia</w:t>
            </w:r>
          </w:p>
          <w:p w:rsidR="00633252" w:rsidRPr="00633252" w:rsidRDefault="00633252" w:rsidP="00921683">
            <w:pPr>
              <w:ind w:left="0" w:firstLine="0"/>
              <w:jc w:val="center"/>
              <w:rPr>
                <w:b/>
              </w:rPr>
            </w:pPr>
            <w:r w:rsidRPr="00921683">
              <w:t>(</w:t>
            </w:r>
            <w:proofErr w:type="spellStart"/>
            <w:r w:rsidRPr="00921683">
              <w:t>Mill</w:t>
            </w:r>
            <w:proofErr w:type="spellEnd"/>
            <w:r w:rsidRPr="00921683">
              <w:t xml:space="preserve"> U$S)</w:t>
            </w:r>
          </w:p>
        </w:tc>
      </w:tr>
      <w:tr w:rsidR="00633252" w:rsidTr="00DD44F6">
        <w:tc>
          <w:tcPr>
            <w:tcW w:w="3410" w:type="dxa"/>
            <w:gridSpan w:val="2"/>
          </w:tcPr>
          <w:p w:rsidR="00633252" w:rsidRDefault="00633252" w:rsidP="00921683">
            <w:pPr>
              <w:ind w:left="0" w:firstLine="0"/>
              <w:jc w:val="center"/>
            </w:pPr>
            <w:r>
              <w:t>1.soja Poroto</w:t>
            </w:r>
          </w:p>
        </w:tc>
        <w:tc>
          <w:tcPr>
            <w:tcW w:w="1651" w:type="dxa"/>
          </w:tcPr>
          <w:p w:rsidR="00633252" w:rsidRDefault="00633252" w:rsidP="00921683">
            <w:pPr>
              <w:ind w:left="0" w:firstLine="0"/>
              <w:jc w:val="center"/>
            </w:pPr>
            <w:r>
              <w:t>633</w:t>
            </w:r>
          </w:p>
        </w:tc>
        <w:tc>
          <w:tcPr>
            <w:tcW w:w="1651" w:type="dxa"/>
          </w:tcPr>
          <w:p w:rsidR="00633252" w:rsidRDefault="00633252" w:rsidP="00921683">
            <w:pPr>
              <w:ind w:left="0" w:firstLine="0"/>
              <w:jc w:val="center"/>
            </w:pPr>
            <w:r>
              <w:t>672</w:t>
            </w:r>
          </w:p>
        </w:tc>
        <w:tc>
          <w:tcPr>
            <w:tcW w:w="1651" w:type="dxa"/>
          </w:tcPr>
          <w:p w:rsidR="00633252" w:rsidRPr="00921683" w:rsidRDefault="00633252" w:rsidP="00921683">
            <w:pPr>
              <w:ind w:left="0" w:firstLine="0"/>
              <w:jc w:val="center"/>
            </w:pPr>
            <w:r w:rsidRPr="00921683">
              <w:t>39</w:t>
            </w:r>
          </w:p>
        </w:tc>
      </w:tr>
      <w:tr w:rsidR="00633252" w:rsidTr="00D558F5">
        <w:tc>
          <w:tcPr>
            <w:tcW w:w="3410" w:type="dxa"/>
            <w:gridSpan w:val="2"/>
          </w:tcPr>
          <w:p w:rsidR="00633252" w:rsidRPr="00925B42" w:rsidRDefault="00633252" w:rsidP="00921683">
            <w:pPr>
              <w:ind w:left="0" w:firstLine="0"/>
              <w:jc w:val="center"/>
            </w:pPr>
            <w:r>
              <w:t>2.</w:t>
            </w:r>
            <w:r w:rsidRPr="00925B42">
              <w:t>Maíz</w:t>
            </w:r>
          </w:p>
        </w:tc>
        <w:tc>
          <w:tcPr>
            <w:tcW w:w="1651" w:type="dxa"/>
          </w:tcPr>
          <w:p w:rsidR="00633252" w:rsidRPr="00925B42" w:rsidRDefault="00633252" w:rsidP="00921683">
            <w:pPr>
              <w:ind w:left="0" w:firstLine="0"/>
              <w:jc w:val="center"/>
            </w:pPr>
            <w:r w:rsidRPr="00925B42">
              <w:t>2.118</w:t>
            </w:r>
          </w:p>
        </w:tc>
        <w:tc>
          <w:tcPr>
            <w:tcW w:w="1651" w:type="dxa"/>
          </w:tcPr>
          <w:p w:rsidR="00633252" w:rsidRPr="00925B42" w:rsidRDefault="00633252" w:rsidP="00921683">
            <w:pPr>
              <w:ind w:left="0" w:firstLine="0"/>
              <w:jc w:val="center"/>
            </w:pPr>
            <w:r w:rsidRPr="00925B42">
              <w:t>653</w:t>
            </w:r>
          </w:p>
        </w:tc>
        <w:tc>
          <w:tcPr>
            <w:tcW w:w="1651" w:type="dxa"/>
          </w:tcPr>
          <w:p w:rsidR="00633252" w:rsidRPr="00921683" w:rsidRDefault="00633252" w:rsidP="00921683">
            <w:pPr>
              <w:ind w:left="0" w:firstLine="0"/>
              <w:jc w:val="center"/>
            </w:pPr>
            <w:r w:rsidRPr="00921683">
              <w:t>- 1.465</w:t>
            </w:r>
          </w:p>
        </w:tc>
      </w:tr>
      <w:tr w:rsidR="00633252" w:rsidTr="00354171">
        <w:tc>
          <w:tcPr>
            <w:tcW w:w="3410" w:type="dxa"/>
            <w:gridSpan w:val="2"/>
          </w:tcPr>
          <w:p w:rsidR="00633252" w:rsidRPr="00925B42" w:rsidRDefault="00633252" w:rsidP="00921683">
            <w:pPr>
              <w:ind w:left="0" w:firstLine="0"/>
              <w:jc w:val="center"/>
            </w:pPr>
            <w:r>
              <w:t xml:space="preserve">3.Trigo </w:t>
            </w:r>
            <w:r w:rsidRPr="00925B42">
              <w:t>Grano</w:t>
            </w:r>
          </w:p>
        </w:tc>
        <w:tc>
          <w:tcPr>
            <w:tcW w:w="1651" w:type="dxa"/>
          </w:tcPr>
          <w:p w:rsidR="00633252" w:rsidRPr="00925B42" w:rsidRDefault="00633252" w:rsidP="00921683">
            <w:pPr>
              <w:ind w:left="0" w:firstLine="0"/>
              <w:jc w:val="center"/>
            </w:pPr>
            <w:r w:rsidRPr="00925B42">
              <w:t>661</w:t>
            </w:r>
          </w:p>
        </w:tc>
        <w:tc>
          <w:tcPr>
            <w:tcW w:w="1651" w:type="dxa"/>
          </w:tcPr>
          <w:p w:rsidR="00633252" w:rsidRPr="00925B42" w:rsidRDefault="00633252" w:rsidP="00921683">
            <w:pPr>
              <w:ind w:left="0" w:firstLine="0"/>
              <w:jc w:val="center"/>
            </w:pPr>
            <w:r w:rsidRPr="00925B42">
              <w:t>352</w:t>
            </w:r>
          </w:p>
        </w:tc>
        <w:tc>
          <w:tcPr>
            <w:tcW w:w="1651" w:type="dxa"/>
          </w:tcPr>
          <w:p w:rsidR="00633252" w:rsidRPr="00921683" w:rsidRDefault="00633252" w:rsidP="00921683">
            <w:pPr>
              <w:ind w:left="0" w:firstLine="0"/>
              <w:jc w:val="center"/>
            </w:pPr>
            <w:r w:rsidRPr="00921683">
              <w:t>-309</w:t>
            </w:r>
          </w:p>
        </w:tc>
      </w:tr>
      <w:tr w:rsidR="00633252" w:rsidTr="00D558F5">
        <w:tc>
          <w:tcPr>
            <w:tcW w:w="3410" w:type="dxa"/>
            <w:gridSpan w:val="2"/>
          </w:tcPr>
          <w:p w:rsidR="00633252" w:rsidRPr="00925B42" w:rsidRDefault="00633252" w:rsidP="00921683">
            <w:pPr>
              <w:ind w:left="0" w:firstLine="0"/>
              <w:jc w:val="center"/>
            </w:pPr>
            <w:r>
              <w:t>4.</w:t>
            </w:r>
            <w:r w:rsidRPr="00925B42">
              <w:t>Cebada</w:t>
            </w:r>
          </w:p>
        </w:tc>
        <w:tc>
          <w:tcPr>
            <w:tcW w:w="1651" w:type="dxa"/>
          </w:tcPr>
          <w:p w:rsidR="00633252" w:rsidRPr="00925B42" w:rsidRDefault="00633252" w:rsidP="00921683">
            <w:pPr>
              <w:ind w:left="0" w:firstLine="0"/>
              <w:jc w:val="center"/>
            </w:pPr>
            <w:r w:rsidRPr="00925B42">
              <w:t>794</w:t>
            </w:r>
          </w:p>
        </w:tc>
        <w:tc>
          <w:tcPr>
            <w:tcW w:w="1651" w:type="dxa"/>
          </w:tcPr>
          <w:p w:rsidR="00633252" w:rsidRPr="00925B42" w:rsidRDefault="00633252" w:rsidP="00921683">
            <w:pPr>
              <w:ind w:left="0" w:firstLine="0"/>
              <w:jc w:val="center"/>
            </w:pPr>
            <w:r w:rsidRPr="00925B42">
              <w:t>545</w:t>
            </w:r>
          </w:p>
        </w:tc>
        <w:tc>
          <w:tcPr>
            <w:tcW w:w="1651" w:type="dxa"/>
          </w:tcPr>
          <w:p w:rsidR="00633252" w:rsidRPr="00921683" w:rsidRDefault="00633252" w:rsidP="00921683">
            <w:pPr>
              <w:ind w:left="0" w:firstLine="0"/>
              <w:jc w:val="center"/>
            </w:pPr>
            <w:r w:rsidRPr="00921683">
              <w:t>-249</w:t>
            </w:r>
          </w:p>
        </w:tc>
      </w:tr>
      <w:tr w:rsidR="00633252" w:rsidTr="00D558F5">
        <w:tc>
          <w:tcPr>
            <w:tcW w:w="3410" w:type="dxa"/>
            <w:gridSpan w:val="2"/>
          </w:tcPr>
          <w:p w:rsidR="00633252" w:rsidRPr="00925B42" w:rsidRDefault="00633252" w:rsidP="00921683">
            <w:pPr>
              <w:ind w:left="0" w:firstLine="0"/>
              <w:jc w:val="center"/>
            </w:pPr>
            <w:r>
              <w:t>5.</w:t>
            </w:r>
            <w:r w:rsidRPr="00925B42">
              <w:t>Sorgo</w:t>
            </w:r>
          </w:p>
        </w:tc>
        <w:tc>
          <w:tcPr>
            <w:tcW w:w="1651" w:type="dxa"/>
          </w:tcPr>
          <w:p w:rsidR="00633252" w:rsidRPr="00925B42" w:rsidRDefault="00633252" w:rsidP="00921683">
            <w:pPr>
              <w:ind w:left="0" w:firstLine="0"/>
              <w:jc w:val="center"/>
            </w:pPr>
            <w:r w:rsidRPr="00925B42">
              <w:t>214</w:t>
            </w:r>
          </w:p>
        </w:tc>
        <w:tc>
          <w:tcPr>
            <w:tcW w:w="1651" w:type="dxa"/>
          </w:tcPr>
          <w:p w:rsidR="00633252" w:rsidRPr="00925B42" w:rsidRDefault="00633252" w:rsidP="00921683">
            <w:pPr>
              <w:ind w:left="0" w:firstLine="0"/>
              <w:jc w:val="center"/>
            </w:pPr>
            <w:r w:rsidRPr="00925B42">
              <w:t>20</w:t>
            </w:r>
          </w:p>
        </w:tc>
        <w:tc>
          <w:tcPr>
            <w:tcW w:w="1651" w:type="dxa"/>
          </w:tcPr>
          <w:p w:rsidR="00633252" w:rsidRPr="00921683" w:rsidRDefault="00633252" w:rsidP="00921683">
            <w:pPr>
              <w:ind w:left="0" w:firstLine="0"/>
              <w:jc w:val="center"/>
            </w:pPr>
            <w:r w:rsidRPr="00921683">
              <w:t>-188</w:t>
            </w:r>
          </w:p>
        </w:tc>
      </w:tr>
      <w:tr w:rsidR="00633252" w:rsidTr="00B9772B">
        <w:tc>
          <w:tcPr>
            <w:tcW w:w="3410" w:type="dxa"/>
            <w:gridSpan w:val="2"/>
          </w:tcPr>
          <w:p w:rsidR="00633252" w:rsidRPr="00925B42" w:rsidRDefault="00633252" w:rsidP="00921683">
            <w:pPr>
              <w:ind w:left="0" w:firstLine="0"/>
              <w:jc w:val="center"/>
            </w:pPr>
            <w:r>
              <w:t xml:space="preserve">6.Girasol  </w:t>
            </w:r>
            <w:r w:rsidRPr="00925B42">
              <w:t>Semilla</w:t>
            </w:r>
          </w:p>
        </w:tc>
        <w:tc>
          <w:tcPr>
            <w:tcW w:w="1651" w:type="dxa"/>
          </w:tcPr>
          <w:p w:rsidR="00633252" w:rsidRPr="00925B42" w:rsidRDefault="00633252" w:rsidP="00921683">
            <w:pPr>
              <w:ind w:left="0" w:firstLine="0"/>
              <w:jc w:val="center"/>
            </w:pPr>
            <w:r w:rsidRPr="00925B42">
              <w:t>38</w:t>
            </w:r>
          </w:p>
        </w:tc>
        <w:tc>
          <w:tcPr>
            <w:tcW w:w="1651" w:type="dxa"/>
          </w:tcPr>
          <w:p w:rsidR="00633252" w:rsidRPr="00925B42" w:rsidRDefault="00633252" w:rsidP="00921683">
            <w:pPr>
              <w:ind w:left="0" w:firstLine="0"/>
              <w:jc w:val="center"/>
            </w:pPr>
            <w:r w:rsidRPr="00925B42">
              <w:t>34</w:t>
            </w:r>
          </w:p>
        </w:tc>
        <w:tc>
          <w:tcPr>
            <w:tcW w:w="1651" w:type="dxa"/>
          </w:tcPr>
          <w:p w:rsidR="00633252" w:rsidRPr="00921683" w:rsidRDefault="00633252" w:rsidP="00921683">
            <w:pPr>
              <w:ind w:left="0" w:firstLine="0"/>
              <w:jc w:val="center"/>
            </w:pPr>
            <w:r w:rsidRPr="00921683">
              <w:t>-4</w:t>
            </w:r>
          </w:p>
        </w:tc>
      </w:tr>
      <w:tr w:rsidR="00633252" w:rsidTr="00D558F5">
        <w:tc>
          <w:tcPr>
            <w:tcW w:w="6712" w:type="dxa"/>
            <w:gridSpan w:val="4"/>
          </w:tcPr>
          <w:p w:rsidR="00633252" w:rsidRPr="00921683" w:rsidRDefault="00633252" w:rsidP="00921683">
            <w:pPr>
              <w:ind w:left="0" w:firstLine="0"/>
              <w:jc w:val="center"/>
              <w:rPr>
                <w:b/>
              </w:rPr>
            </w:pPr>
            <w:r w:rsidRPr="00921683">
              <w:rPr>
                <w:b/>
              </w:rPr>
              <w:t xml:space="preserve">Diferencia exportaciones de los productos primarios agrícolas </w:t>
            </w:r>
          </w:p>
        </w:tc>
        <w:tc>
          <w:tcPr>
            <w:tcW w:w="1651" w:type="dxa"/>
          </w:tcPr>
          <w:p w:rsidR="00633252" w:rsidRPr="00921683" w:rsidRDefault="00633252" w:rsidP="00921683">
            <w:pPr>
              <w:ind w:left="0" w:firstLine="0"/>
              <w:jc w:val="center"/>
              <w:rPr>
                <w:b/>
              </w:rPr>
            </w:pPr>
            <w:r w:rsidRPr="00921683">
              <w:rPr>
                <w:b/>
              </w:rPr>
              <w:t>- 2.176</w:t>
            </w:r>
          </w:p>
        </w:tc>
      </w:tr>
      <w:tr w:rsidR="00633252" w:rsidTr="00D558F5">
        <w:tc>
          <w:tcPr>
            <w:tcW w:w="6712" w:type="dxa"/>
            <w:gridSpan w:val="4"/>
          </w:tcPr>
          <w:p w:rsidR="00633252" w:rsidRPr="00921683" w:rsidRDefault="00633252" w:rsidP="00921683">
            <w:pPr>
              <w:ind w:left="0" w:firstLine="0"/>
              <w:jc w:val="center"/>
              <w:rPr>
                <w:b/>
              </w:rPr>
            </w:pPr>
            <w:r w:rsidRPr="00921683">
              <w:rPr>
                <w:b/>
              </w:rPr>
              <w:t xml:space="preserve">Diferencia exportaciones </w:t>
            </w:r>
            <w:proofErr w:type="spellStart"/>
            <w:r w:rsidRPr="00921683">
              <w:rPr>
                <w:b/>
              </w:rPr>
              <w:t>prod</w:t>
            </w:r>
            <w:proofErr w:type="spellEnd"/>
            <w:r w:rsidRPr="00921683">
              <w:rPr>
                <w:b/>
              </w:rPr>
              <w:t>. primarios 1º cuatrimestre 2013 vs 2014</w:t>
            </w:r>
          </w:p>
        </w:tc>
        <w:tc>
          <w:tcPr>
            <w:tcW w:w="1651" w:type="dxa"/>
          </w:tcPr>
          <w:p w:rsidR="00633252" w:rsidRPr="00921683" w:rsidRDefault="00633252" w:rsidP="00921683">
            <w:pPr>
              <w:ind w:left="0" w:firstLine="0"/>
              <w:jc w:val="center"/>
              <w:rPr>
                <w:b/>
              </w:rPr>
            </w:pPr>
            <w:r w:rsidRPr="00921683">
              <w:rPr>
                <w:b/>
              </w:rPr>
              <w:t>- 2.381</w:t>
            </w:r>
          </w:p>
        </w:tc>
      </w:tr>
      <w:tr w:rsidR="00633252" w:rsidTr="00D558F5">
        <w:tc>
          <w:tcPr>
            <w:tcW w:w="6712" w:type="dxa"/>
            <w:gridSpan w:val="4"/>
          </w:tcPr>
          <w:p w:rsidR="00633252" w:rsidRPr="00990F57" w:rsidRDefault="00633252" w:rsidP="00921683">
            <w:pPr>
              <w:ind w:left="0" w:firstLine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Incidencia de los productos agrícolas</w:t>
            </w:r>
          </w:p>
        </w:tc>
        <w:tc>
          <w:tcPr>
            <w:tcW w:w="1651" w:type="dxa"/>
          </w:tcPr>
          <w:p w:rsidR="00633252" w:rsidRDefault="00633252" w:rsidP="00921683">
            <w:pPr>
              <w:ind w:left="0" w:firstLine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91,4 %</w:t>
            </w:r>
          </w:p>
        </w:tc>
      </w:tr>
    </w:tbl>
    <w:p w:rsidR="00921683" w:rsidRDefault="00921683" w:rsidP="00921683">
      <w:pPr>
        <w:ind w:left="0" w:firstLine="0"/>
      </w:pPr>
      <w:r>
        <w:t>Elaboración propia con datos del INDEC</w:t>
      </w:r>
    </w:p>
    <w:p w:rsidR="00633252" w:rsidRDefault="00633252" w:rsidP="00921683">
      <w:pPr>
        <w:ind w:left="0" w:firstLine="0"/>
      </w:pPr>
    </w:p>
    <w:sectPr w:rsidR="00633252" w:rsidSect="008E6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2949"/>
    <w:multiLevelType w:val="hybridMultilevel"/>
    <w:tmpl w:val="F8DA81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20E4F"/>
    <w:multiLevelType w:val="hybridMultilevel"/>
    <w:tmpl w:val="AA26EB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04955"/>
    <w:multiLevelType w:val="hybridMultilevel"/>
    <w:tmpl w:val="8B7C954A"/>
    <w:lvl w:ilvl="0" w:tplc="BA1E95CC">
      <w:start w:val="1"/>
      <w:numFmt w:val="lowerLetter"/>
      <w:lvlText w:val="%1)"/>
      <w:lvlJc w:val="left"/>
      <w:pPr>
        <w:ind w:left="249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8CD"/>
    <w:rsid w:val="00000ADB"/>
    <w:rsid w:val="00005069"/>
    <w:rsid w:val="00011401"/>
    <w:rsid w:val="00014BB1"/>
    <w:rsid w:val="000170FD"/>
    <w:rsid w:val="000223B5"/>
    <w:rsid w:val="00023D6F"/>
    <w:rsid w:val="00024A13"/>
    <w:rsid w:val="00024A39"/>
    <w:rsid w:val="0002661C"/>
    <w:rsid w:val="00027A0E"/>
    <w:rsid w:val="000305F8"/>
    <w:rsid w:val="00034304"/>
    <w:rsid w:val="00036606"/>
    <w:rsid w:val="00037757"/>
    <w:rsid w:val="00041FC0"/>
    <w:rsid w:val="0004459B"/>
    <w:rsid w:val="00045F42"/>
    <w:rsid w:val="00047EB9"/>
    <w:rsid w:val="00050629"/>
    <w:rsid w:val="00051B99"/>
    <w:rsid w:val="00051D67"/>
    <w:rsid w:val="000548BB"/>
    <w:rsid w:val="00062A24"/>
    <w:rsid w:val="00064D39"/>
    <w:rsid w:val="00073F1E"/>
    <w:rsid w:val="00074734"/>
    <w:rsid w:val="00075819"/>
    <w:rsid w:val="0007591B"/>
    <w:rsid w:val="00080C59"/>
    <w:rsid w:val="000840E1"/>
    <w:rsid w:val="00085E93"/>
    <w:rsid w:val="00090544"/>
    <w:rsid w:val="00091586"/>
    <w:rsid w:val="000A04FE"/>
    <w:rsid w:val="000A0EA7"/>
    <w:rsid w:val="000A1541"/>
    <w:rsid w:val="000A29A4"/>
    <w:rsid w:val="000A2ED7"/>
    <w:rsid w:val="000A33CB"/>
    <w:rsid w:val="000A4DBB"/>
    <w:rsid w:val="000B0224"/>
    <w:rsid w:val="000B4355"/>
    <w:rsid w:val="000C2E63"/>
    <w:rsid w:val="000C3443"/>
    <w:rsid w:val="000C56CB"/>
    <w:rsid w:val="000C66DE"/>
    <w:rsid w:val="000D00D0"/>
    <w:rsid w:val="000D1534"/>
    <w:rsid w:val="000D303A"/>
    <w:rsid w:val="000D3116"/>
    <w:rsid w:val="000D5EEC"/>
    <w:rsid w:val="000E0358"/>
    <w:rsid w:val="000E0694"/>
    <w:rsid w:val="000E2FF6"/>
    <w:rsid w:val="000E39B8"/>
    <w:rsid w:val="000E3A9A"/>
    <w:rsid w:val="000E4F55"/>
    <w:rsid w:val="000F2414"/>
    <w:rsid w:val="000F2A34"/>
    <w:rsid w:val="000F2E60"/>
    <w:rsid w:val="000F336B"/>
    <w:rsid w:val="000F4D75"/>
    <w:rsid w:val="000F74B5"/>
    <w:rsid w:val="000F7648"/>
    <w:rsid w:val="001002B0"/>
    <w:rsid w:val="00101805"/>
    <w:rsid w:val="00104269"/>
    <w:rsid w:val="00107BA0"/>
    <w:rsid w:val="001108A4"/>
    <w:rsid w:val="001138FE"/>
    <w:rsid w:val="00113CFF"/>
    <w:rsid w:val="00114926"/>
    <w:rsid w:val="00121D75"/>
    <w:rsid w:val="00123AC4"/>
    <w:rsid w:val="001240C9"/>
    <w:rsid w:val="00125B2D"/>
    <w:rsid w:val="001268D1"/>
    <w:rsid w:val="001275FE"/>
    <w:rsid w:val="001279E5"/>
    <w:rsid w:val="00127AAE"/>
    <w:rsid w:val="0013248B"/>
    <w:rsid w:val="00132CEF"/>
    <w:rsid w:val="0013427E"/>
    <w:rsid w:val="00135204"/>
    <w:rsid w:val="0014012A"/>
    <w:rsid w:val="00141B4A"/>
    <w:rsid w:val="00143069"/>
    <w:rsid w:val="0014331B"/>
    <w:rsid w:val="001437C9"/>
    <w:rsid w:val="00152A8B"/>
    <w:rsid w:val="00153920"/>
    <w:rsid w:val="00154A06"/>
    <w:rsid w:val="00162ADB"/>
    <w:rsid w:val="00164131"/>
    <w:rsid w:val="001643F3"/>
    <w:rsid w:val="001668CD"/>
    <w:rsid w:val="00166BEB"/>
    <w:rsid w:val="001676D6"/>
    <w:rsid w:val="0017159E"/>
    <w:rsid w:val="00175059"/>
    <w:rsid w:val="00176BF5"/>
    <w:rsid w:val="00181FEE"/>
    <w:rsid w:val="00182031"/>
    <w:rsid w:val="0018438F"/>
    <w:rsid w:val="00186D99"/>
    <w:rsid w:val="0018725A"/>
    <w:rsid w:val="00190446"/>
    <w:rsid w:val="0019322A"/>
    <w:rsid w:val="001937E1"/>
    <w:rsid w:val="00193C30"/>
    <w:rsid w:val="001943AF"/>
    <w:rsid w:val="001964DA"/>
    <w:rsid w:val="00197AAF"/>
    <w:rsid w:val="001A0C6C"/>
    <w:rsid w:val="001A6FD2"/>
    <w:rsid w:val="001B36DE"/>
    <w:rsid w:val="001B5E3F"/>
    <w:rsid w:val="001B65C3"/>
    <w:rsid w:val="001B6C13"/>
    <w:rsid w:val="001C1075"/>
    <w:rsid w:val="001C1780"/>
    <w:rsid w:val="001C2675"/>
    <w:rsid w:val="001D29DD"/>
    <w:rsid w:val="001D38DD"/>
    <w:rsid w:val="001D513D"/>
    <w:rsid w:val="001E3420"/>
    <w:rsid w:val="001E41D8"/>
    <w:rsid w:val="001E4DE0"/>
    <w:rsid w:val="001F2B70"/>
    <w:rsid w:val="001F4A5D"/>
    <w:rsid w:val="001F626B"/>
    <w:rsid w:val="00200C0A"/>
    <w:rsid w:val="0020105A"/>
    <w:rsid w:val="00201DE4"/>
    <w:rsid w:val="00202A40"/>
    <w:rsid w:val="00203F96"/>
    <w:rsid w:val="00206B16"/>
    <w:rsid w:val="00206C4B"/>
    <w:rsid w:val="00211962"/>
    <w:rsid w:val="0021310A"/>
    <w:rsid w:val="002146F2"/>
    <w:rsid w:val="002158B9"/>
    <w:rsid w:val="00217102"/>
    <w:rsid w:val="002203A5"/>
    <w:rsid w:val="00220F55"/>
    <w:rsid w:val="0022320D"/>
    <w:rsid w:val="002254DB"/>
    <w:rsid w:val="00231247"/>
    <w:rsid w:val="002320C5"/>
    <w:rsid w:val="0024088D"/>
    <w:rsid w:val="0024419F"/>
    <w:rsid w:val="00244642"/>
    <w:rsid w:val="002446B0"/>
    <w:rsid w:val="00245DC9"/>
    <w:rsid w:val="002469AF"/>
    <w:rsid w:val="002471ED"/>
    <w:rsid w:val="0024753E"/>
    <w:rsid w:val="002506BC"/>
    <w:rsid w:val="0025095C"/>
    <w:rsid w:val="00251A44"/>
    <w:rsid w:val="00252799"/>
    <w:rsid w:val="00253D7D"/>
    <w:rsid w:val="00253FC3"/>
    <w:rsid w:val="00261C28"/>
    <w:rsid w:val="00262A68"/>
    <w:rsid w:val="002674AB"/>
    <w:rsid w:val="00273040"/>
    <w:rsid w:val="00273A0B"/>
    <w:rsid w:val="00275AB6"/>
    <w:rsid w:val="00282A04"/>
    <w:rsid w:val="00285CE7"/>
    <w:rsid w:val="002863F0"/>
    <w:rsid w:val="002911FF"/>
    <w:rsid w:val="00291696"/>
    <w:rsid w:val="0029229F"/>
    <w:rsid w:val="002929F5"/>
    <w:rsid w:val="00293809"/>
    <w:rsid w:val="00294CC4"/>
    <w:rsid w:val="00294DD3"/>
    <w:rsid w:val="00294F59"/>
    <w:rsid w:val="00296A59"/>
    <w:rsid w:val="00296B57"/>
    <w:rsid w:val="002A07F0"/>
    <w:rsid w:val="002A41EC"/>
    <w:rsid w:val="002A59CE"/>
    <w:rsid w:val="002A65C4"/>
    <w:rsid w:val="002B2C8D"/>
    <w:rsid w:val="002B31CB"/>
    <w:rsid w:val="002B360D"/>
    <w:rsid w:val="002B40E2"/>
    <w:rsid w:val="002B47D7"/>
    <w:rsid w:val="002B767F"/>
    <w:rsid w:val="002B76F7"/>
    <w:rsid w:val="002B7B6E"/>
    <w:rsid w:val="002C21C4"/>
    <w:rsid w:val="002C25F0"/>
    <w:rsid w:val="002C2D4A"/>
    <w:rsid w:val="002C37AB"/>
    <w:rsid w:val="002C409B"/>
    <w:rsid w:val="002C43ED"/>
    <w:rsid w:val="002C54E3"/>
    <w:rsid w:val="002C7476"/>
    <w:rsid w:val="002C75E2"/>
    <w:rsid w:val="002D2AFE"/>
    <w:rsid w:val="002D2BF6"/>
    <w:rsid w:val="002D57FA"/>
    <w:rsid w:val="002D5F5F"/>
    <w:rsid w:val="002D6466"/>
    <w:rsid w:val="002E120B"/>
    <w:rsid w:val="002E1D87"/>
    <w:rsid w:val="002F0374"/>
    <w:rsid w:val="002F2EBB"/>
    <w:rsid w:val="002F563C"/>
    <w:rsid w:val="00300D67"/>
    <w:rsid w:val="00300E28"/>
    <w:rsid w:val="003036D2"/>
    <w:rsid w:val="003045D9"/>
    <w:rsid w:val="00304CEB"/>
    <w:rsid w:val="003060B5"/>
    <w:rsid w:val="00311EF1"/>
    <w:rsid w:val="00312805"/>
    <w:rsid w:val="00312ACF"/>
    <w:rsid w:val="00313DD3"/>
    <w:rsid w:val="00321555"/>
    <w:rsid w:val="003221E3"/>
    <w:rsid w:val="003223E1"/>
    <w:rsid w:val="00324F9C"/>
    <w:rsid w:val="00326CD1"/>
    <w:rsid w:val="0033019F"/>
    <w:rsid w:val="00332191"/>
    <w:rsid w:val="003409CD"/>
    <w:rsid w:val="00340C2B"/>
    <w:rsid w:val="003414D5"/>
    <w:rsid w:val="00344FED"/>
    <w:rsid w:val="003543B6"/>
    <w:rsid w:val="00356146"/>
    <w:rsid w:val="003628F2"/>
    <w:rsid w:val="003638E8"/>
    <w:rsid w:val="00363D2B"/>
    <w:rsid w:val="00363F73"/>
    <w:rsid w:val="00364E2D"/>
    <w:rsid w:val="003654D7"/>
    <w:rsid w:val="0037189B"/>
    <w:rsid w:val="00372F55"/>
    <w:rsid w:val="003733E9"/>
    <w:rsid w:val="00374885"/>
    <w:rsid w:val="00380097"/>
    <w:rsid w:val="0038186A"/>
    <w:rsid w:val="00382FE2"/>
    <w:rsid w:val="003836C4"/>
    <w:rsid w:val="003838FD"/>
    <w:rsid w:val="003840EC"/>
    <w:rsid w:val="00387631"/>
    <w:rsid w:val="00387F81"/>
    <w:rsid w:val="00391EAA"/>
    <w:rsid w:val="003923E3"/>
    <w:rsid w:val="00393A23"/>
    <w:rsid w:val="003A0334"/>
    <w:rsid w:val="003A0A27"/>
    <w:rsid w:val="003A11F6"/>
    <w:rsid w:val="003A307B"/>
    <w:rsid w:val="003B1E31"/>
    <w:rsid w:val="003B4100"/>
    <w:rsid w:val="003B76EF"/>
    <w:rsid w:val="003C1617"/>
    <w:rsid w:val="003C4BB9"/>
    <w:rsid w:val="003C6518"/>
    <w:rsid w:val="003D0D58"/>
    <w:rsid w:val="003D4F7A"/>
    <w:rsid w:val="003E509A"/>
    <w:rsid w:val="003E6450"/>
    <w:rsid w:val="003E6555"/>
    <w:rsid w:val="003E75D9"/>
    <w:rsid w:val="003F2935"/>
    <w:rsid w:val="003F3D33"/>
    <w:rsid w:val="003F4676"/>
    <w:rsid w:val="003F51DF"/>
    <w:rsid w:val="003F5AA4"/>
    <w:rsid w:val="00403E78"/>
    <w:rsid w:val="0040467F"/>
    <w:rsid w:val="00411FB2"/>
    <w:rsid w:val="00412460"/>
    <w:rsid w:val="00414716"/>
    <w:rsid w:val="004151B5"/>
    <w:rsid w:val="00417382"/>
    <w:rsid w:val="004179CF"/>
    <w:rsid w:val="0042252E"/>
    <w:rsid w:val="00423E74"/>
    <w:rsid w:val="00424759"/>
    <w:rsid w:val="004248C8"/>
    <w:rsid w:val="004260BD"/>
    <w:rsid w:val="00426DB9"/>
    <w:rsid w:val="00434490"/>
    <w:rsid w:val="0043534A"/>
    <w:rsid w:val="0043555F"/>
    <w:rsid w:val="004357B4"/>
    <w:rsid w:val="00436766"/>
    <w:rsid w:val="004401D5"/>
    <w:rsid w:val="004406AB"/>
    <w:rsid w:val="00442981"/>
    <w:rsid w:val="004456FA"/>
    <w:rsid w:val="00446DB1"/>
    <w:rsid w:val="00447378"/>
    <w:rsid w:val="004478E1"/>
    <w:rsid w:val="00451F44"/>
    <w:rsid w:val="00452C78"/>
    <w:rsid w:val="0045361D"/>
    <w:rsid w:val="00457D35"/>
    <w:rsid w:val="004636D8"/>
    <w:rsid w:val="00463BE7"/>
    <w:rsid w:val="00464EB8"/>
    <w:rsid w:val="0046573F"/>
    <w:rsid w:val="004673B7"/>
    <w:rsid w:val="00471E93"/>
    <w:rsid w:val="00471F40"/>
    <w:rsid w:val="004759E4"/>
    <w:rsid w:val="00475F3E"/>
    <w:rsid w:val="004769C7"/>
    <w:rsid w:val="0048006B"/>
    <w:rsid w:val="004807B3"/>
    <w:rsid w:val="004877D5"/>
    <w:rsid w:val="004931EE"/>
    <w:rsid w:val="00493AD3"/>
    <w:rsid w:val="0049738B"/>
    <w:rsid w:val="004A033A"/>
    <w:rsid w:val="004A03CA"/>
    <w:rsid w:val="004A0B09"/>
    <w:rsid w:val="004A1112"/>
    <w:rsid w:val="004A36F4"/>
    <w:rsid w:val="004A3B0D"/>
    <w:rsid w:val="004A420E"/>
    <w:rsid w:val="004A72E1"/>
    <w:rsid w:val="004B0AB6"/>
    <w:rsid w:val="004B1E5F"/>
    <w:rsid w:val="004C0022"/>
    <w:rsid w:val="004C2835"/>
    <w:rsid w:val="004C5DE3"/>
    <w:rsid w:val="004C7BAB"/>
    <w:rsid w:val="004D3927"/>
    <w:rsid w:val="004D62D7"/>
    <w:rsid w:val="004E05E8"/>
    <w:rsid w:val="004E16E1"/>
    <w:rsid w:val="004E275D"/>
    <w:rsid w:val="004E46D7"/>
    <w:rsid w:val="004E54DC"/>
    <w:rsid w:val="004E63E3"/>
    <w:rsid w:val="004F20DF"/>
    <w:rsid w:val="004F458D"/>
    <w:rsid w:val="004F5481"/>
    <w:rsid w:val="004F5B3B"/>
    <w:rsid w:val="004F73C5"/>
    <w:rsid w:val="004F76E6"/>
    <w:rsid w:val="00504A0A"/>
    <w:rsid w:val="00506D4C"/>
    <w:rsid w:val="005074C4"/>
    <w:rsid w:val="005104CB"/>
    <w:rsid w:val="00513F19"/>
    <w:rsid w:val="005143D4"/>
    <w:rsid w:val="0051493D"/>
    <w:rsid w:val="00515B4F"/>
    <w:rsid w:val="00516525"/>
    <w:rsid w:val="00517F47"/>
    <w:rsid w:val="00520A2E"/>
    <w:rsid w:val="005215C6"/>
    <w:rsid w:val="00525BCD"/>
    <w:rsid w:val="005263CA"/>
    <w:rsid w:val="005364BC"/>
    <w:rsid w:val="00540C64"/>
    <w:rsid w:val="00540F0B"/>
    <w:rsid w:val="00542135"/>
    <w:rsid w:val="005447B5"/>
    <w:rsid w:val="00546405"/>
    <w:rsid w:val="00546AC1"/>
    <w:rsid w:val="00552D5B"/>
    <w:rsid w:val="0055373A"/>
    <w:rsid w:val="00556985"/>
    <w:rsid w:val="0055749B"/>
    <w:rsid w:val="00561E0E"/>
    <w:rsid w:val="00563CA6"/>
    <w:rsid w:val="00572E4A"/>
    <w:rsid w:val="00573027"/>
    <w:rsid w:val="00577736"/>
    <w:rsid w:val="0058071A"/>
    <w:rsid w:val="00582EFB"/>
    <w:rsid w:val="00583E8A"/>
    <w:rsid w:val="00584914"/>
    <w:rsid w:val="00584B8C"/>
    <w:rsid w:val="00584CFD"/>
    <w:rsid w:val="005901BF"/>
    <w:rsid w:val="00592932"/>
    <w:rsid w:val="005930A1"/>
    <w:rsid w:val="00594146"/>
    <w:rsid w:val="00596561"/>
    <w:rsid w:val="00596D10"/>
    <w:rsid w:val="005A21E1"/>
    <w:rsid w:val="005A2426"/>
    <w:rsid w:val="005A2AEF"/>
    <w:rsid w:val="005A398A"/>
    <w:rsid w:val="005A4E02"/>
    <w:rsid w:val="005A60F2"/>
    <w:rsid w:val="005B005D"/>
    <w:rsid w:val="005B0570"/>
    <w:rsid w:val="005B061A"/>
    <w:rsid w:val="005B1A09"/>
    <w:rsid w:val="005B22D2"/>
    <w:rsid w:val="005C1526"/>
    <w:rsid w:val="005C25CA"/>
    <w:rsid w:val="005C3A5F"/>
    <w:rsid w:val="005C4DB0"/>
    <w:rsid w:val="005C4E81"/>
    <w:rsid w:val="005C62D1"/>
    <w:rsid w:val="005D4761"/>
    <w:rsid w:val="005D7562"/>
    <w:rsid w:val="005D7724"/>
    <w:rsid w:val="005D781D"/>
    <w:rsid w:val="005D7F51"/>
    <w:rsid w:val="005E0164"/>
    <w:rsid w:val="005E375F"/>
    <w:rsid w:val="005E37BA"/>
    <w:rsid w:val="005E6A82"/>
    <w:rsid w:val="005E753F"/>
    <w:rsid w:val="005F07D4"/>
    <w:rsid w:val="005F2945"/>
    <w:rsid w:val="005F6F9A"/>
    <w:rsid w:val="005F718B"/>
    <w:rsid w:val="006003D5"/>
    <w:rsid w:val="0060050C"/>
    <w:rsid w:val="00600812"/>
    <w:rsid w:val="006026CC"/>
    <w:rsid w:val="00602833"/>
    <w:rsid w:val="00602B8D"/>
    <w:rsid w:val="00604B59"/>
    <w:rsid w:val="00604C27"/>
    <w:rsid w:val="006066DC"/>
    <w:rsid w:val="006076AF"/>
    <w:rsid w:val="006132BC"/>
    <w:rsid w:val="00617986"/>
    <w:rsid w:val="00622045"/>
    <w:rsid w:val="00623A78"/>
    <w:rsid w:val="00623B77"/>
    <w:rsid w:val="00623C3D"/>
    <w:rsid w:val="006269B0"/>
    <w:rsid w:val="00630289"/>
    <w:rsid w:val="00631954"/>
    <w:rsid w:val="00633252"/>
    <w:rsid w:val="006343F8"/>
    <w:rsid w:val="0063443F"/>
    <w:rsid w:val="006402B5"/>
    <w:rsid w:val="00640C9B"/>
    <w:rsid w:val="006467EC"/>
    <w:rsid w:val="00647EB2"/>
    <w:rsid w:val="00654BD1"/>
    <w:rsid w:val="0065637C"/>
    <w:rsid w:val="00662DF4"/>
    <w:rsid w:val="00663778"/>
    <w:rsid w:val="006638DB"/>
    <w:rsid w:val="00665504"/>
    <w:rsid w:val="0067110C"/>
    <w:rsid w:val="00673165"/>
    <w:rsid w:val="00673665"/>
    <w:rsid w:val="00675EA1"/>
    <w:rsid w:val="006808D3"/>
    <w:rsid w:val="006809D3"/>
    <w:rsid w:val="00680B8E"/>
    <w:rsid w:val="0068134A"/>
    <w:rsid w:val="00682897"/>
    <w:rsid w:val="00687257"/>
    <w:rsid w:val="00687C17"/>
    <w:rsid w:val="00690383"/>
    <w:rsid w:val="00691D9C"/>
    <w:rsid w:val="00693435"/>
    <w:rsid w:val="00693891"/>
    <w:rsid w:val="0069403C"/>
    <w:rsid w:val="00696575"/>
    <w:rsid w:val="00696941"/>
    <w:rsid w:val="006A0E73"/>
    <w:rsid w:val="006A1736"/>
    <w:rsid w:val="006A7561"/>
    <w:rsid w:val="006B45A7"/>
    <w:rsid w:val="006B5BB2"/>
    <w:rsid w:val="006B71A0"/>
    <w:rsid w:val="006C17A6"/>
    <w:rsid w:val="006C6615"/>
    <w:rsid w:val="006C74C4"/>
    <w:rsid w:val="006C764E"/>
    <w:rsid w:val="006D22A8"/>
    <w:rsid w:val="006D2BC9"/>
    <w:rsid w:val="006E0DAC"/>
    <w:rsid w:val="006E1CE0"/>
    <w:rsid w:val="006E35E4"/>
    <w:rsid w:val="006F06AE"/>
    <w:rsid w:val="007025C4"/>
    <w:rsid w:val="0070375C"/>
    <w:rsid w:val="0070449D"/>
    <w:rsid w:val="0070734B"/>
    <w:rsid w:val="007073E2"/>
    <w:rsid w:val="0070789B"/>
    <w:rsid w:val="0071011D"/>
    <w:rsid w:val="007119BB"/>
    <w:rsid w:val="00717D67"/>
    <w:rsid w:val="0072146F"/>
    <w:rsid w:val="00722397"/>
    <w:rsid w:val="00723BFF"/>
    <w:rsid w:val="0072589D"/>
    <w:rsid w:val="00725FFE"/>
    <w:rsid w:val="00732E66"/>
    <w:rsid w:val="00733BE3"/>
    <w:rsid w:val="00734D61"/>
    <w:rsid w:val="00735BAC"/>
    <w:rsid w:val="00737445"/>
    <w:rsid w:val="00740F46"/>
    <w:rsid w:val="007415B0"/>
    <w:rsid w:val="00743B2B"/>
    <w:rsid w:val="00745FE3"/>
    <w:rsid w:val="00747530"/>
    <w:rsid w:val="00747C75"/>
    <w:rsid w:val="0075123B"/>
    <w:rsid w:val="00754BC6"/>
    <w:rsid w:val="007558F3"/>
    <w:rsid w:val="00765B78"/>
    <w:rsid w:val="00767AF1"/>
    <w:rsid w:val="00771AD8"/>
    <w:rsid w:val="00774A7A"/>
    <w:rsid w:val="007844E5"/>
    <w:rsid w:val="00785181"/>
    <w:rsid w:val="00785907"/>
    <w:rsid w:val="00786B14"/>
    <w:rsid w:val="00786DA5"/>
    <w:rsid w:val="00792980"/>
    <w:rsid w:val="00795A86"/>
    <w:rsid w:val="007A19E1"/>
    <w:rsid w:val="007A1C76"/>
    <w:rsid w:val="007A1EF7"/>
    <w:rsid w:val="007A21FC"/>
    <w:rsid w:val="007A26A5"/>
    <w:rsid w:val="007A26E5"/>
    <w:rsid w:val="007A44F6"/>
    <w:rsid w:val="007A731D"/>
    <w:rsid w:val="007B06CF"/>
    <w:rsid w:val="007B08B2"/>
    <w:rsid w:val="007B0D66"/>
    <w:rsid w:val="007B11B0"/>
    <w:rsid w:val="007B3736"/>
    <w:rsid w:val="007B398F"/>
    <w:rsid w:val="007B7645"/>
    <w:rsid w:val="007B7912"/>
    <w:rsid w:val="007C1B84"/>
    <w:rsid w:val="007C3B80"/>
    <w:rsid w:val="007C49E9"/>
    <w:rsid w:val="007C52A5"/>
    <w:rsid w:val="007C64BC"/>
    <w:rsid w:val="007C71CA"/>
    <w:rsid w:val="007D0E33"/>
    <w:rsid w:val="007D250C"/>
    <w:rsid w:val="007D392A"/>
    <w:rsid w:val="007D3B2A"/>
    <w:rsid w:val="007E3BA6"/>
    <w:rsid w:val="007E4631"/>
    <w:rsid w:val="007F00F0"/>
    <w:rsid w:val="007F080C"/>
    <w:rsid w:val="007F1479"/>
    <w:rsid w:val="007F3D2A"/>
    <w:rsid w:val="007F407F"/>
    <w:rsid w:val="00800C7E"/>
    <w:rsid w:val="00801697"/>
    <w:rsid w:val="0080262D"/>
    <w:rsid w:val="00805783"/>
    <w:rsid w:val="00806579"/>
    <w:rsid w:val="008116C3"/>
    <w:rsid w:val="00811EF4"/>
    <w:rsid w:val="00815345"/>
    <w:rsid w:val="0081638C"/>
    <w:rsid w:val="00816D8C"/>
    <w:rsid w:val="008204CA"/>
    <w:rsid w:val="00820FE3"/>
    <w:rsid w:val="0082108A"/>
    <w:rsid w:val="0082470E"/>
    <w:rsid w:val="00830D29"/>
    <w:rsid w:val="008310D2"/>
    <w:rsid w:val="00833C8C"/>
    <w:rsid w:val="00836D58"/>
    <w:rsid w:val="0084049A"/>
    <w:rsid w:val="00843D6F"/>
    <w:rsid w:val="0084520A"/>
    <w:rsid w:val="00855A84"/>
    <w:rsid w:val="008631A1"/>
    <w:rsid w:val="00863B3E"/>
    <w:rsid w:val="0086759E"/>
    <w:rsid w:val="008724EC"/>
    <w:rsid w:val="00874E16"/>
    <w:rsid w:val="00876314"/>
    <w:rsid w:val="00883D9C"/>
    <w:rsid w:val="0088611C"/>
    <w:rsid w:val="00886C40"/>
    <w:rsid w:val="008876D1"/>
    <w:rsid w:val="00893C65"/>
    <w:rsid w:val="008979C1"/>
    <w:rsid w:val="008A0241"/>
    <w:rsid w:val="008A2144"/>
    <w:rsid w:val="008A539A"/>
    <w:rsid w:val="008A5D79"/>
    <w:rsid w:val="008A5DFF"/>
    <w:rsid w:val="008A6B82"/>
    <w:rsid w:val="008A7688"/>
    <w:rsid w:val="008B1342"/>
    <w:rsid w:val="008B5075"/>
    <w:rsid w:val="008B5106"/>
    <w:rsid w:val="008B5E9F"/>
    <w:rsid w:val="008B610A"/>
    <w:rsid w:val="008B7A79"/>
    <w:rsid w:val="008C307A"/>
    <w:rsid w:val="008C3293"/>
    <w:rsid w:val="008C36C7"/>
    <w:rsid w:val="008C5736"/>
    <w:rsid w:val="008C6CBA"/>
    <w:rsid w:val="008D4640"/>
    <w:rsid w:val="008E00FF"/>
    <w:rsid w:val="008E04BC"/>
    <w:rsid w:val="008E4DB0"/>
    <w:rsid w:val="008E6D10"/>
    <w:rsid w:val="008E6EFC"/>
    <w:rsid w:val="008F2E77"/>
    <w:rsid w:val="008F44C8"/>
    <w:rsid w:val="008F690F"/>
    <w:rsid w:val="008F79AB"/>
    <w:rsid w:val="00907680"/>
    <w:rsid w:val="00910B74"/>
    <w:rsid w:val="00915BA3"/>
    <w:rsid w:val="00916DA1"/>
    <w:rsid w:val="00920780"/>
    <w:rsid w:val="00921683"/>
    <w:rsid w:val="00925B42"/>
    <w:rsid w:val="00925C89"/>
    <w:rsid w:val="00926A15"/>
    <w:rsid w:val="00932E3C"/>
    <w:rsid w:val="0093386A"/>
    <w:rsid w:val="009378C3"/>
    <w:rsid w:val="00941B16"/>
    <w:rsid w:val="00943107"/>
    <w:rsid w:val="009440D5"/>
    <w:rsid w:val="00946C73"/>
    <w:rsid w:val="00946E99"/>
    <w:rsid w:val="00946EE9"/>
    <w:rsid w:val="009511AC"/>
    <w:rsid w:val="0095456D"/>
    <w:rsid w:val="00955A20"/>
    <w:rsid w:val="00955B00"/>
    <w:rsid w:val="00955E05"/>
    <w:rsid w:val="00957A9D"/>
    <w:rsid w:val="009610FE"/>
    <w:rsid w:val="00963A13"/>
    <w:rsid w:val="00966845"/>
    <w:rsid w:val="00970B68"/>
    <w:rsid w:val="0097148D"/>
    <w:rsid w:val="009749A5"/>
    <w:rsid w:val="00974B17"/>
    <w:rsid w:val="00974E9E"/>
    <w:rsid w:val="009767E0"/>
    <w:rsid w:val="009773ED"/>
    <w:rsid w:val="00977723"/>
    <w:rsid w:val="009818C8"/>
    <w:rsid w:val="00982842"/>
    <w:rsid w:val="00990080"/>
    <w:rsid w:val="00990F57"/>
    <w:rsid w:val="0099181C"/>
    <w:rsid w:val="00991AAD"/>
    <w:rsid w:val="00991D94"/>
    <w:rsid w:val="009924C3"/>
    <w:rsid w:val="00993662"/>
    <w:rsid w:val="0099565E"/>
    <w:rsid w:val="009A00EB"/>
    <w:rsid w:val="009A1781"/>
    <w:rsid w:val="009A31CD"/>
    <w:rsid w:val="009A40F9"/>
    <w:rsid w:val="009A64C4"/>
    <w:rsid w:val="009A77EB"/>
    <w:rsid w:val="009A7D36"/>
    <w:rsid w:val="009A7FC4"/>
    <w:rsid w:val="009B0210"/>
    <w:rsid w:val="009B6B16"/>
    <w:rsid w:val="009C0820"/>
    <w:rsid w:val="009C1527"/>
    <w:rsid w:val="009C4233"/>
    <w:rsid w:val="009D1E2F"/>
    <w:rsid w:val="009D290B"/>
    <w:rsid w:val="009D5C22"/>
    <w:rsid w:val="009D5D65"/>
    <w:rsid w:val="009D60F7"/>
    <w:rsid w:val="009D7704"/>
    <w:rsid w:val="009E4A05"/>
    <w:rsid w:val="009E61C2"/>
    <w:rsid w:val="009E76F4"/>
    <w:rsid w:val="009F3B88"/>
    <w:rsid w:val="00A0575C"/>
    <w:rsid w:val="00A05C12"/>
    <w:rsid w:val="00A12911"/>
    <w:rsid w:val="00A14C00"/>
    <w:rsid w:val="00A1649B"/>
    <w:rsid w:val="00A16C44"/>
    <w:rsid w:val="00A16F99"/>
    <w:rsid w:val="00A17813"/>
    <w:rsid w:val="00A178FF"/>
    <w:rsid w:val="00A20B56"/>
    <w:rsid w:val="00A23C4C"/>
    <w:rsid w:val="00A247E4"/>
    <w:rsid w:val="00A24A21"/>
    <w:rsid w:val="00A26383"/>
    <w:rsid w:val="00A26D6C"/>
    <w:rsid w:val="00A33817"/>
    <w:rsid w:val="00A351B9"/>
    <w:rsid w:val="00A37AC7"/>
    <w:rsid w:val="00A4163F"/>
    <w:rsid w:val="00A41B96"/>
    <w:rsid w:val="00A4383B"/>
    <w:rsid w:val="00A43A56"/>
    <w:rsid w:val="00A43DBF"/>
    <w:rsid w:val="00A508EB"/>
    <w:rsid w:val="00A54CE8"/>
    <w:rsid w:val="00A579F0"/>
    <w:rsid w:val="00A62940"/>
    <w:rsid w:val="00A6411B"/>
    <w:rsid w:val="00A65D91"/>
    <w:rsid w:val="00A71071"/>
    <w:rsid w:val="00A710C1"/>
    <w:rsid w:val="00A723B5"/>
    <w:rsid w:val="00A731B6"/>
    <w:rsid w:val="00A7441D"/>
    <w:rsid w:val="00A745AF"/>
    <w:rsid w:val="00A75C18"/>
    <w:rsid w:val="00A76721"/>
    <w:rsid w:val="00A77F09"/>
    <w:rsid w:val="00A817D5"/>
    <w:rsid w:val="00A820B0"/>
    <w:rsid w:val="00A84430"/>
    <w:rsid w:val="00A86B15"/>
    <w:rsid w:val="00A90606"/>
    <w:rsid w:val="00A90D52"/>
    <w:rsid w:val="00A90DA3"/>
    <w:rsid w:val="00A90DE7"/>
    <w:rsid w:val="00A92709"/>
    <w:rsid w:val="00A97201"/>
    <w:rsid w:val="00AA295F"/>
    <w:rsid w:val="00AA2CEC"/>
    <w:rsid w:val="00AA382D"/>
    <w:rsid w:val="00AA45F3"/>
    <w:rsid w:val="00AA49B9"/>
    <w:rsid w:val="00AA4FAA"/>
    <w:rsid w:val="00AB5D26"/>
    <w:rsid w:val="00AB603F"/>
    <w:rsid w:val="00AB6860"/>
    <w:rsid w:val="00AB7C50"/>
    <w:rsid w:val="00AB7D7F"/>
    <w:rsid w:val="00AC100F"/>
    <w:rsid w:val="00AC483F"/>
    <w:rsid w:val="00AC5533"/>
    <w:rsid w:val="00AC5913"/>
    <w:rsid w:val="00AC67D5"/>
    <w:rsid w:val="00AC6D15"/>
    <w:rsid w:val="00AD04DF"/>
    <w:rsid w:val="00AD13D2"/>
    <w:rsid w:val="00AD69B1"/>
    <w:rsid w:val="00AD7A06"/>
    <w:rsid w:val="00AD7BBC"/>
    <w:rsid w:val="00AE051F"/>
    <w:rsid w:val="00AE0FC4"/>
    <w:rsid w:val="00AE5309"/>
    <w:rsid w:val="00AE5453"/>
    <w:rsid w:val="00AE5A2B"/>
    <w:rsid w:val="00AE65F9"/>
    <w:rsid w:val="00AF0C25"/>
    <w:rsid w:val="00AF150B"/>
    <w:rsid w:val="00B00224"/>
    <w:rsid w:val="00B01429"/>
    <w:rsid w:val="00B0251C"/>
    <w:rsid w:val="00B03BDB"/>
    <w:rsid w:val="00B05C6A"/>
    <w:rsid w:val="00B06458"/>
    <w:rsid w:val="00B070D3"/>
    <w:rsid w:val="00B0789E"/>
    <w:rsid w:val="00B13E70"/>
    <w:rsid w:val="00B163EF"/>
    <w:rsid w:val="00B208F3"/>
    <w:rsid w:val="00B220EA"/>
    <w:rsid w:val="00B23861"/>
    <w:rsid w:val="00B24814"/>
    <w:rsid w:val="00B25727"/>
    <w:rsid w:val="00B263B8"/>
    <w:rsid w:val="00B26972"/>
    <w:rsid w:val="00B3087F"/>
    <w:rsid w:val="00B33764"/>
    <w:rsid w:val="00B3410B"/>
    <w:rsid w:val="00B35051"/>
    <w:rsid w:val="00B362DF"/>
    <w:rsid w:val="00B37F25"/>
    <w:rsid w:val="00B43C9C"/>
    <w:rsid w:val="00B47A06"/>
    <w:rsid w:val="00B548AF"/>
    <w:rsid w:val="00B54F47"/>
    <w:rsid w:val="00B54F5F"/>
    <w:rsid w:val="00B60228"/>
    <w:rsid w:val="00B61BCC"/>
    <w:rsid w:val="00B62046"/>
    <w:rsid w:val="00B6289C"/>
    <w:rsid w:val="00B64483"/>
    <w:rsid w:val="00B65D22"/>
    <w:rsid w:val="00B6702F"/>
    <w:rsid w:val="00B705F3"/>
    <w:rsid w:val="00B7119B"/>
    <w:rsid w:val="00B730C2"/>
    <w:rsid w:val="00B73295"/>
    <w:rsid w:val="00B74CF5"/>
    <w:rsid w:val="00B76A2B"/>
    <w:rsid w:val="00B77E7E"/>
    <w:rsid w:val="00B80E4B"/>
    <w:rsid w:val="00B829A4"/>
    <w:rsid w:val="00B830AC"/>
    <w:rsid w:val="00B853D8"/>
    <w:rsid w:val="00B875C0"/>
    <w:rsid w:val="00BA5ED1"/>
    <w:rsid w:val="00BB08B2"/>
    <w:rsid w:val="00BB0DC8"/>
    <w:rsid w:val="00BB5763"/>
    <w:rsid w:val="00BB6926"/>
    <w:rsid w:val="00BB6F04"/>
    <w:rsid w:val="00BB7887"/>
    <w:rsid w:val="00BC3134"/>
    <w:rsid w:val="00BD1A2D"/>
    <w:rsid w:val="00BD1C67"/>
    <w:rsid w:val="00BD2BDD"/>
    <w:rsid w:val="00BD2F01"/>
    <w:rsid w:val="00BD3EFA"/>
    <w:rsid w:val="00BD4009"/>
    <w:rsid w:val="00BD4230"/>
    <w:rsid w:val="00BE2302"/>
    <w:rsid w:val="00BE2D52"/>
    <w:rsid w:val="00BE5500"/>
    <w:rsid w:val="00BE7D76"/>
    <w:rsid w:val="00BF0EFE"/>
    <w:rsid w:val="00BF36AB"/>
    <w:rsid w:val="00BF63BA"/>
    <w:rsid w:val="00C00FA8"/>
    <w:rsid w:val="00C05FA6"/>
    <w:rsid w:val="00C114BA"/>
    <w:rsid w:val="00C1527E"/>
    <w:rsid w:val="00C2214C"/>
    <w:rsid w:val="00C23EEF"/>
    <w:rsid w:val="00C3020A"/>
    <w:rsid w:val="00C36699"/>
    <w:rsid w:val="00C41FA6"/>
    <w:rsid w:val="00C44284"/>
    <w:rsid w:val="00C44602"/>
    <w:rsid w:val="00C44DEB"/>
    <w:rsid w:val="00C4686B"/>
    <w:rsid w:val="00C53B33"/>
    <w:rsid w:val="00C576AA"/>
    <w:rsid w:val="00C57EDB"/>
    <w:rsid w:val="00C63E47"/>
    <w:rsid w:val="00C64C02"/>
    <w:rsid w:val="00C6597F"/>
    <w:rsid w:val="00C67099"/>
    <w:rsid w:val="00C67195"/>
    <w:rsid w:val="00C708C9"/>
    <w:rsid w:val="00C72F20"/>
    <w:rsid w:val="00C73E8C"/>
    <w:rsid w:val="00C745C7"/>
    <w:rsid w:val="00C74A9B"/>
    <w:rsid w:val="00C82A0A"/>
    <w:rsid w:val="00C83E18"/>
    <w:rsid w:val="00C85F0A"/>
    <w:rsid w:val="00C87691"/>
    <w:rsid w:val="00C907F7"/>
    <w:rsid w:val="00C9108F"/>
    <w:rsid w:val="00C912C6"/>
    <w:rsid w:val="00C916EC"/>
    <w:rsid w:val="00C9411C"/>
    <w:rsid w:val="00C961D4"/>
    <w:rsid w:val="00CA067F"/>
    <w:rsid w:val="00CA21E9"/>
    <w:rsid w:val="00CA3483"/>
    <w:rsid w:val="00CA552F"/>
    <w:rsid w:val="00CB0FB5"/>
    <w:rsid w:val="00CB2E00"/>
    <w:rsid w:val="00CB56FA"/>
    <w:rsid w:val="00CB5AD2"/>
    <w:rsid w:val="00CB6116"/>
    <w:rsid w:val="00CC0803"/>
    <w:rsid w:val="00CC0B66"/>
    <w:rsid w:val="00CC10F4"/>
    <w:rsid w:val="00CC167C"/>
    <w:rsid w:val="00CC1BDA"/>
    <w:rsid w:val="00CC2BEB"/>
    <w:rsid w:val="00CC4098"/>
    <w:rsid w:val="00CC4458"/>
    <w:rsid w:val="00CC7A3A"/>
    <w:rsid w:val="00CD2730"/>
    <w:rsid w:val="00CD3434"/>
    <w:rsid w:val="00CD374F"/>
    <w:rsid w:val="00CD52A7"/>
    <w:rsid w:val="00CE1FCD"/>
    <w:rsid w:val="00CE21D9"/>
    <w:rsid w:val="00CE2DFE"/>
    <w:rsid w:val="00CE39F8"/>
    <w:rsid w:val="00CE4640"/>
    <w:rsid w:val="00CE57E9"/>
    <w:rsid w:val="00CF0B1B"/>
    <w:rsid w:val="00CF294D"/>
    <w:rsid w:val="00CF2F8D"/>
    <w:rsid w:val="00CF4321"/>
    <w:rsid w:val="00CF4C59"/>
    <w:rsid w:val="00CF674E"/>
    <w:rsid w:val="00CF6FD3"/>
    <w:rsid w:val="00CF70C9"/>
    <w:rsid w:val="00D01247"/>
    <w:rsid w:val="00D03541"/>
    <w:rsid w:val="00D05FA6"/>
    <w:rsid w:val="00D07626"/>
    <w:rsid w:val="00D16799"/>
    <w:rsid w:val="00D16997"/>
    <w:rsid w:val="00D173BA"/>
    <w:rsid w:val="00D21969"/>
    <w:rsid w:val="00D2280D"/>
    <w:rsid w:val="00D24C9E"/>
    <w:rsid w:val="00D27E61"/>
    <w:rsid w:val="00D30D0B"/>
    <w:rsid w:val="00D31D92"/>
    <w:rsid w:val="00D35569"/>
    <w:rsid w:val="00D41E75"/>
    <w:rsid w:val="00D43DE2"/>
    <w:rsid w:val="00D56E5D"/>
    <w:rsid w:val="00D64CF8"/>
    <w:rsid w:val="00D664A4"/>
    <w:rsid w:val="00D66E69"/>
    <w:rsid w:val="00D70FF5"/>
    <w:rsid w:val="00D71A49"/>
    <w:rsid w:val="00D7508E"/>
    <w:rsid w:val="00D75944"/>
    <w:rsid w:val="00D812B1"/>
    <w:rsid w:val="00D86C54"/>
    <w:rsid w:val="00D870E2"/>
    <w:rsid w:val="00D9013E"/>
    <w:rsid w:val="00D94678"/>
    <w:rsid w:val="00D96C65"/>
    <w:rsid w:val="00D97CD5"/>
    <w:rsid w:val="00DA5383"/>
    <w:rsid w:val="00DA6F59"/>
    <w:rsid w:val="00DA7135"/>
    <w:rsid w:val="00DB30B7"/>
    <w:rsid w:val="00DB6307"/>
    <w:rsid w:val="00DC5E91"/>
    <w:rsid w:val="00DD4F92"/>
    <w:rsid w:val="00DD61B5"/>
    <w:rsid w:val="00DD6E66"/>
    <w:rsid w:val="00DE029C"/>
    <w:rsid w:val="00DF0150"/>
    <w:rsid w:val="00DF0ED3"/>
    <w:rsid w:val="00DF24E3"/>
    <w:rsid w:val="00DF39F1"/>
    <w:rsid w:val="00DF5EDF"/>
    <w:rsid w:val="00DF69FC"/>
    <w:rsid w:val="00DF6F0D"/>
    <w:rsid w:val="00E00B62"/>
    <w:rsid w:val="00E0101A"/>
    <w:rsid w:val="00E01860"/>
    <w:rsid w:val="00E057D0"/>
    <w:rsid w:val="00E11FBD"/>
    <w:rsid w:val="00E1361B"/>
    <w:rsid w:val="00E14654"/>
    <w:rsid w:val="00E146B9"/>
    <w:rsid w:val="00E1587C"/>
    <w:rsid w:val="00E15E87"/>
    <w:rsid w:val="00E20B9B"/>
    <w:rsid w:val="00E21200"/>
    <w:rsid w:val="00E22116"/>
    <w:rsid w:val="00E25863"/>
    <w:rsid w:val="00E26E76"/>
    <w:rsid w:val="00E30CEC"/>
    <w:rsid w:val="00E30D46"/>
    <w:rsid w:val="00E33CFA"/>
    <w:rsid w:val="00E351F5"/>
    <w:rsid w:val="00E3744E"/>
    <w:rsid w:val="00E37CE8"/>
    <w:rsid w:val="00E44EA7"/>
    <w:rsid w:val="00E506F9"/>
    <w:rsid w:val="00E51C28"/>
    <w:rsid w:val="00E51DB1"/>
    <w:rsid w:val="00E52E96"/>
    <w:rsid w:val="00E536A7"/>
    <w:rsid w:val="00E538EE"/>
    <w:rsid w:val="00E54657"/>
    <w:rsid w:val="00E55B1C"/>
    <w:rsid w:val="00E55D1F"/>
    <w:rsid w:val="00E578F2"/>
    <w:rsid w:val="00E62374"/>
    <w:rsid w:val="00E6767B"/>
    <w:rsid w:val="00E7061D"/>
    <w:rsid w:val="00E7260A"/>
    <w:rsid w:val="00E74E49"/>
    <w:rsid w:val="00E76B92"/>
    <w:rsid w:val="00E81D4A"/>
    <w:rsid w:val="00E820B3"/>
    <w:rsid w:val="00E84662"/>
    <w:rsid w:val="00E8478D"/>
    <w:rsid w:val="00E85988"/>
    <w:rsid w:val="00E8661D"/>
    <w:rsid w:val="00E9170E"/>
    <w:rsid w:val="00E92379"/>
    <w:rsid w:val="00E95B5A"/>
    <w:rsid w:val="00E96DF2"/>
    <w:rsid w:val="00EA20FF"/>
    <w:rsid w:val="00EA2AFD"/>
    <w:rsid w:val="00EA3B38"/>
    <w:rsid w:val="00EA3DCA"/>
    <w:rsid w:val="00EA4BF0"/>
    <w:rsid w:val="00EA56E2"/>
    <w:rsid w:val="00EB01B8"/>
    <w:rsid w:val="00EB1D93"/>
    <w:rsid w:val="00EB27AB"/>
    <w:rsid w:val="00EB3B26"/>
    <w:rsid w:val="00EB526B"/>
    <w:rsid w:val="00EB6B71"/>
    <w:rsid w:val="00EC007B"/>
    <w:rsid w:val="00EC51B2"/>
    <w:rsid w:val="00EC72C2"/>
    <w:rsid w:val="00EC7F08"/>
    <w:rsid w:val="00ED00F1"/>
    <w:rsid w:val="00ED17C1"/>
    <w:rsid w:val="00ED1F26"/>
    <w:rsid w:val="00ED2287"/>
    <w:rsid w:val="00ED6EF0"/>
    <w:rsid w:val="00EE1955"/>
    <w:rsid w:val="00EE3776"/>
    <w:rsid w:val="00EE5F1C"/>
    <w:rsid w:val="00EE6026"/>
    <w:rsid w:val="00EE6259"/>
    <w:rsid w:val="00EE68AC"/>
    <w:rsid w:val="00EE7B0B"/>
    <w:rsid w:val="00EF063E"/>
    <w:rsid w:val="00EF5EE3"/>
    <w:rsid w:val="00EF7D52"/>
    <w:rsid w:val="00F01868"/>
    <w:rsid w:val="00F0224A"/>
    <w:rsid w:val="00F03A77"/>
    <w:rsid w:val="00F10725"/>
    <w:rsid w:val="00F115DB"/>
    <w:rsid w:val="00F12BC6"/>
    <w:rsid w:val="00F172B0"/>
    <w:rsid w:val="00F17862"/>
    <w:rsid w:val="00F17B15"/>
    <w:rsid w:val="00F22BD2"/>
    <w:rsid w:val="00F22C73"/>
    <w:rsid w:val="00F2330C"/>
    <w:rsid w:val="00F305C6"/>
    <w:rsid w:val="00F329E1"/>
    <w:rsid w:val="00F32A57"/>
    <w:rsid w:val="00F35AF2"/>
    <w:rsid w:val="00F37569"/>
    <w:rsid w:val="00F4028B"/>
    <w:rsid w:val="00F41C6C"/>
    <w:rsid w:val="00F4273A"/>
    <w:rsid w:val="00F455A0"/>
    <w:rsid w:val="00F46978"/>
    <w:rsid w:val="00F46DF3"/>
    <w:rsid w:val="00F500DD"/>
    <w:rsid w:val="00F51DF8"/>
    <w:rsid w:val="00F53310"/>
    <w:rsid w:val="00F53A0F"/>
    <w:rsid w:val="00F5789F"/>
    <w:rsid w:val="00F62B1D"/>
    <w:rsid w:val="00F63CF1"/>
    <w:rsid w:val="00F63EED"/>
    <w:rsid w:val="00F6408C"/>
    <w:rsid w:val="00F7170C"/>
    <w:rsid w:val="00F763A4"/>
    <w:rsid w:val="00F76B4B"/>
    <w:rsid w:val="00F771B3"/>
    <w:rsid w:val="00F77E7E"/>
    <w:rsid w:val="00F80EBA"/>
    <w:rsid w:val="00F839C7"/>
    <w:rsid w:val="00F91733"/>
    <w:rsid w:val="00F922CE"/>
    <w:rsid w:val="00F925A0"/>
    <w:rsid w:val="00F94737"/>
    <w:rsid w:val="00F96CAC"/>
    <w:rsid w:val="00F970D5"/>
    <w:rsid w:val="00F97284"/>
    <w:rsid w:val="00FA2A02"/>
    <w:rsid w:val="00FA5AA6"/>
    <w:rsid w:val="00FB3211"/>
    <w:rsid w:val="00FB3420"/>
    <w:rsid w:val="00FB490B"/>
    <w:rsid w:val="00FB4927"/>
    <w:rsid w:val="00FB51F2"/>
    <w:rsid w:val="00FB567B"/>
    <w:rsid w:val="00FB57A3"/>
    <w:rsid w:val="00FB5F9F"/>
    <w:rsid w:val="00FD5EC4"/>
    <w:rsid w:val="00FE1A69"/>
    <w:rsid w:val="00FE2D91"/>
    <w:rsid w:val="00FE2EEB"/>
    <w:rsid w:val="00FE64A8"/>
    <w:rsid w:val="00FE7BA5"/>
    <w:rsid w:val="00FF4013"/>
    <w:rsid w:val="00FF4D09"/>
    <w:rsid w:val="00FF63E1"/>
    <w:rsid w:val="00FF6E8B"/>
    <w:rsid w:val="00FF6F64"/>
    <w:rsid w:val="00FF7CE7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6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0F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7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s-ES" sz="1800"/>
              <a:t>Exportaciones</a:t>
            </a:r>
            <a:r>
              <a:rPr lang="es-ES" sz="1800" baseline="0"/>
              <a:t> productos agrícolas (U$S)</a:t>
            </a:r>
            <a:endParaRPr lang="es-ES" sz="18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1º cuatrimestre 2013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Complejo soja</c:v>
                </c:pt>
                <c:pt idx="1">
                  <c:v>Maíz</c:v>
                </c:pt>
                <c:pt idx="2">
                  <c:v>Trigo</c:v>
                </c:pt>
                <c:pt idx="3">
                  <c:v>Cebada</c:v>
                </c:pt>
                <c:pt idx="4">
                  <c:v>Sorgo</c:v>
                </c:pt>
                <c:pt idx="5">
                  <c:v>Complejo girasol</c:v>
                </c:pt>
              </c:strCache>
            </c:strRef>
          </c:cat>
          <c:val>
            <c:numRef>
              <c:f>Hoja1!$B$2:$B$7</c:f>
              <c:numCache>
                <c:formatCode>#,##0</c:formatCode>
                <c:ptCount val="6"/>
                <c:pt idx="0">
                  <c:v>4386000000</c:v>
                </c:pt>
                <c:pt idx="1">
                  <c:v>2118000000</c:v>
                </c:pt>
                <c:pt idx="2">
                  <c:v>693000000</c:v>
                </c:pt>
                <c:pt idx="3">
                  <c:v>794000000</c:v>
                </c:pt>
                <c:pt idx="4">
                  <c:v>214000000</c:v>
                </c:pt>
                <c:pt idx="5">
                  <c:v>367000000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1º Cuatrimestre 2014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Complejo soja</c:v>
                </c:pt>
                <c:pt idx="1">
                  <c:v>Maíz</c:v>
                </c:pt>
                <c:pt idx="2">
                  <c:v>Trigo</c:v>
                </c:pt>
                <c:pt idx="3">
                  <c:v>Cebada</c:v>
                </c:pt>
                <c:pt idx="4">
                  <c:v>Sorgo</c:v>
                </c:pt>
                <c:pt idx="5">
                  <c:v>Complejo girasol</c:v>
                </c:pt>
              </c:strCache>
            </c:strRef>
          </c:cat>
          <c:val>
            <c:numRef>
              <c:f>Hoja1!$C$2:$C$7</c:f>
              <c:numCache>
                <c:formatCode>#,##0</c:formatCode>
                <c:ptCount val="6"/>
                <c:pt idx="0">
                  <c:v>5194000000</c:v>
                </c:pt>
                <c:pt idx="1">
                  <c:v>653000000</c:v>
                </c:pt>
                <c:pt idx="2">
                  <c:v>387000000</c:v>
                </c:pt>
                <c:pt idx="3">
                  <c:v>545000000</c:v>
                </c:pt>
                <c:pt idx="4">
                  <c:v>20000000</c:v>
                </c:pt>
                <c:pt idx="5">
                  <c:v>197000000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Diferencia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Complejo soja</c:v>
                </c:pt>
                <c:pt idx="1">
                  <c:v>Maíz</c:v>
                </c:pt>
                <c:pt idx="2">
                  <c:v>Trigo</c:v>
                </c:pt>
                <c:pt idx="3">
                  <c:v>Cebada</c:v>
                </c:pt>
                <c:pt idx="4">
                  <c:v>Sorgo</c:v>
                </c:pt>
                <c:pt idx="5">
                  <c:v>Complejo girasol</c:v>
                </c:pt>
              </c:strCache>
            </c:strRef>
          </c:cat>
          <c:val>
            <c:numRef>
              <c:f>Hoja1!$D$2:$D$7</c:f>
              <c:numCache>
                <c:formatCode>#,##0</c:formatCode>
                <c:ptCount val="6"/>
                <c:pt idx="0">
                  <c:v>808000000</c:v>
                </c:pt>
                <c:pt idx="1">
                  <c:v>-1465000000</c:v>
                </c:pt>
                <c:pt idx="2">
                  <c:v>-306000000</c:v>
                </c:pt>
                <c:pt idx="3">
                  <c:v>-249000000</c:v>
                </c:pt>
                <c:pt idx="4">
                  <c:v>-188000000</c:v>
                </c:pt>
                <c:pt idx="5">
                  <c:v>-170000000</c:v>
                </c:pt>
              </c:numCache>
            </c:numRef>
          </c:val>
        </c:ser>
        <c:gapWidth val="75"/>
        <c:overlap val="-25"/>
        <c:axId val="36596352"/>
        <c:axId val="37180160"/>
      </c:barChart>
      <c:catAx>
        <c:axId val="36596352"/>
        <c:scaling>
          <c:orientation val="minMax"/>
        </c:scaling>
        <c:axPos val="b"/>
        <c:numFmt formatCode="General" sourceLinked="1"/>
        <c:majorTickMark val="none"/>
        <c:tickLblPos val="nextTo"/>
        <c:crossAx val="37180160"/>
        <c:crosses val="autoZero"/>
        <c:auto val="1"/>
        <c:lblAlgn val="ctr"/>
        <c:lblOffset val="100"/>
      </c:catAx>
      <c:valAx>
        <c:axId val="37180160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spPr>
          <a:ln w="9525">
            <a:noFill/>
          </a:ln>
        </c:spPr>
        <c:crossAx val="365963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10</cp:revision>
  <dcterms:created xsi:type="dcterms:W3CDTF">2014-05-24T15:04:00Z</dcterms:created>
  <dcterms:modified xsi:type="dcterms:W3CDTF">2014-05-25T14:43:00Z</dcterms:modified>
</cp:coreProperties>
</file>