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3A" w:rsidRPr="0084637F" w:rsidRDefault="0084637F">
      <w:pPr>
        <w:rPr>
          <w:sz w:val="48"/>
          <w:szCs w:val="48"/>
          <w:lang w:val="es-ES"/>
        </w:rPr>
      </w:pPr>
      <w:r w:rsidRPr="0084637F">
        <w:rPr>
          <w:b/>
          <w:sz w:val="72"/>
          <w:szCs w:val="72"/>
          <w:lang w:val="es-ES"/>
        </w:rPr>
        <w:t>Ganadería:</w:t>
      </w:r>
      <w:r>
        <w:rPr>
          <w:lang w:val="es-ES"/>
        </w:rPr>
        <w:t xml:space="preserve"> </w:t>
      </w:r>
      <w:r w:rsidRPr="0084637F">
        <w:rPr>
          <w:sz w:val="48"/>
          <w:szCs w:val="48"/>
          <w:lang w:val="es-ES"/>
        </w:rPr>
        <w:t>Pérdida de competitividad en el sector invernada-engorde</w:t>
      </w:r>
    </w:p>
    <w:p w:rsidR="0084637F" w:rsidRDefault="0084637F">
      <w:pPr>
        <w:rPr>
          <w:i/>
          <w:sz w:val="32"/>
          <w:szCs w:val="32"/>
        </w:rPr>
      </w:pPr>
      <w:r w:rsidRPr="0084637F">
        <w:rPr>
          <w:i/>
          <w:sz w:val="32"/>
          <w:szCs w:val="32"/>
          <w:lang w:val="es-ES"/>
        </w:rPr>
        <w:t>“Mientras l</w:t>
      </w:r>
      <w:r w:rsidRPr="0084637F">
        <w:rPr>
          <w:i/>
          <w:sz w:val="32"/>
          <w:szCs w:val="32"/>
        </w:rPr>
        <w:t xml:space="preserve">os  costos para producir novillos  aumentaron en estos últimos 2 años un 95,33 %, </w:t>
      </w:r>
      <w:r w:rsidR="00781A41">
        <w:rPr>
          <w:i/>
          <w:sz w:val="32"/>
          <w:szCs w:val="32"/>
        </w:rPr>
        <w:t>el precio</w:t>
      </w:r>
      <w:r w:rsidRPr="0084637F">
        <w:rPr>
          <w:i/>
          <w:sz w:val="32"/>
          <w:szCs w:val="32"/>
        </w:rPr>
        <w:t xml:space="preserve"> del mismo solo lo hizo en un 53 %.”</w:t>
      </w:r>
    </w:p>
    <w:p w:rsidR="00781A41" w:rsidRPr="0084637F" w:rsidRDefault="00781A41">
      <w:pPr>
        <w:rPr>
          <w:i/>
          <w:sz w:val="32"/>
          <w:szCs w:val="32"/>
        </w:rPr>
      </w:pPr>
    </w:p>
    <w:p w:rsidR="0084637F" w:rsidRPr="0084637F" w:rsidRDefault="0084637F">
      <w:pPr>
        <w:rPr>
          <w:b/>
        </w:rPr>
      </w:pPr>
      <w:r w:rsidRPr="0084637F">
        <w:rPr>
          <w:b/>
        </w:rPr>
        <w:t>Aumento de los costos en 3 modelos productivo de invernada</w:t>
      </w:r>
    </w:p>
    <w:p w:rsidR="001A0352" w:rsidRDefault="001A0352">
      <w:pPr>
        <w:rPr>
          <w:lang w:val="es-ES"/>
        </w:rPr>
      </w:pPr>
      <w:r>
        <w:rPr>
          <w:lang w:val="es-ES"/>
        </w:rPr>
        <w:t xml:space="preserve">Uno de los grandes problemas que tiene la ganadería es el aumento constante de los </w:t>
      </w:r>
      <w:r w:rsidR="00AF2AA1">
        <w:rPr>
          <w:lang w:val="es-ES"/>
        </w:rPr>
        <w:t>costos. En este caso bas</w:t>
      </w:r>
      <w:r w:rsidR="00B40163">
        <w:rPr>
          <w:lang w:val="es-ES"/>
        </w:rPr>
        <w:t>ándonos en el informe cuatrimestral del MINAGRI, vamos evaluar el aumento del costo directo –Mano de obra, sanidad y alimentación- e indirecto – estructura, amortizaciones e impuestos- desde marzo de 2012 hasta marzo 2014 (Cuadro 1). Para esto analizaremos 3 esquemas productivo</w:t>
      </w:r>
      <w:r w:rsidR="0084637F">
        <w:rPr>
          <w:lang w:val="es-ES"/>
        </w:rPr>
        <w:t xml:space="preserve">s: </w:t>
      </w:r>
      <w:r w:rsidR="001E40A8">
        <w:rPr>
          <w:lang w:val="es-ES"/>
        </w:rPr>
        <w:t xml:space="preserve">el primero el de pampa </w:t>
      </w:r>
      <w:proofErr w:type="spellStart"/>
      <w:r w:rsidR="001E40A8">
        <w:rPr>
          <w:lang w:val="es-ES"/>
        </w:rPr>
        <w:t>subhú</w:t>
      </w:r>
      <w:r w:rsidR="00B40163">
        <w:rPr>
          <w:lang w:val="es-ES"/>
        </w:rPr>
        <w:t>meda</w:t>
      </w:r>
      <w:proofErr w:type="spellEnd"/>
      <w:r w:rsidR="00B40163">
        <w:rPr>
          <w:lang w:val="es-ES"/>
        </w:rPr>
        <w:t xml:space="preserve"> </w:t>
      </w:r>
      <w:r w:rsidR="0032169C">
        <w:rPr>
          <w:lang w:val="es-ES"/>
        </w:rPr>
        <w:t xml:space="preserve">–zona del </w:t>
      </w:r>
      <w:proofErr w:type="spellStart"/>
      <w:r w:rsidR="0032169C">
        <w:rPr>
          <w:lang w:val="es-ES"/>
        </w:rPr>
        <w:t>suodeste</w:t>
      </w:r>
      <w:proofErr w:type="spellEnd"/>
      <w:r w:rsidR="0032169C">
        <w:rPr>
          <w:lang w:val="es-ES"/>
        </w:rPr>
        <w:t xml:space="preserve"> de Córdoba- de alta producción de carne por hectárea – 605 Kg/ha de carne-, la segunda Santa Fe Centro, una zona de baja producción -75 Kg/ha de carne- y la última el engorde a corral.</w:t>
      </w:r>
    </w:p>
    <w:p w:rsidR="005D72D8" w:rsidRDefault="005D72D8">
      <w:pPr>
        <w:rPr>
          <w:lang w:val="es-ES"/>
        </w:rPr>
      </w:pPr>
    </w:p>
    <w:p w:rsidR="00FE1EA2" w:rsidRDefault="00B40163">
      <w:pPr>
        <w:rPr>
          <w:lang w:val="es-ES"/>
        </w:rPr>
      </w:pPr>
      <w:r>
        <w:rPr>
          <w:lang w:val="es-ES"/>
        </w:rPr>
        <w:t>Cuadro 1: Aumento de costos –directos e indirectos- en invernada.</w:t>
      </w:r>
    </w:p>
    <w:tbl>
      <w:tblPr>
        <w:tblStyle w:val="Cuadrculamedia1-nfasis5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E1EA2" w:rsidTr="00141B88">
        <w:trPr>
          <w:cnfStyle w:val="100000000000"/>
        </w:trPr>
        <w:tc>
          <w:tcPr>
            <w:cnfStyle w:val="001000000000"/>
            <w:tcW w:w="1728" w:type="dxa"/>
          </w:tcPr>
          <w:p w:rsidR="00FE1EA2" w:rsidRDefault="00FE1EA2" w:rsidP="008E720B">
            <w:pPr>
              <w:jc w:val="center"/>
              <w:rPr>
                <w:lang w:val="es-ES"/>
              </w:rPr>
            </w:pPr>
          </w:p>
        </w:tc>
        <w:tc>
          <w:tcPr>
            <w:tcW w:w="1729" w:type="dxa"/>
          </w:tcPr>
          <w:p w:rsidR="00FE1EA2" w:rsidRDefault="00AF2AA1" w:rsidP="008E720B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>Costo</w:t>
            </w:r>
            <w:r w:rsidR="00FE1EA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Marzo</w:t>
            </w:r>
            <w:r w:rsidR="00FE1EA2">
              <w:rPr>
                <w:lang w:val="es-ES"/>
              </w:rPr>
              <w:t xml:space="preserve">  2012 ($/cabeza)</w:t>
            </w:r>
          </w:p>
        </w:tc>
        <w:tc>
          <w:tcPr>
            <w:tcW w:w="1729" w:type="dxa"/>
          </w:tcPr>
          <w:p w:rsidR="00FE1EA2" w:rsidRDefault="00AF2AA1" w:rsidP="008E720B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 xml:space="preserve">Costo Marzo </w:t>
            </w:r>
            <w:r w:rsidR="00FE1EA2">
              <w:rPr>
                <w:lang w:val="es-ES"/>
              </w:rPr>
              <w:t>2013($/cabeza)</w:t>
            </w:r>
          </w:p>
        </w:tc>
        <w:tc>
          <w:tcPr>
            <w:tcW w:w="1729" w:type="dxa"/>
          </w:tcPr>
          <w:p w:rsidR="00FE1EA2" w:rsidRDefault="00AF2AA1" w:rsidP="008E720B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 xml:space="preserve">Costo Marzo </w:t>
            </w:r>
            <w:r w:rsidR="00FE1EA2">
              <w:rPr>
                <w:lang w:val="es-ES"/>
              </w:rPr>
              <w:t>2014($/cabeza)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>Aumento del costo entre 2012 y 2013</w:t>
            </w:r>
          </w:p>
        </w:tc>
      </w:tr>
      <w:tr w:rsidR="00814F53" w:rsidTr="00141B88">
        <w:trPr>
          <w:cnfStyle w:val="000000100000"/>
        </w:trPr>
        <w:tc>
          <w:tcPr>
            <w:cnfStyle w:val="001000000000"/>
            <w:tcW w:w="1728" w:type="dxa"/>
          </w:tcPr>
          <w:p w:rsidR="00FE1EA2" w:rsidRDefault="00FE1EA2" w:rsidP="008E72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Pampa </w:t>
            </w:r>
            <w:proofErr w:type="spellStart"/>
            <w:r w:rsidR="00AF2AA1">
              <w:rPr>
                <w:lang w:val="es-ES"/>
              </w:rPr>
              <w:t>Sub</w:t>
            </w:r>
            <w:r>
              <w:rPr>
                <w:lang w:val="es-ES"/>
              </w:rPr>
              <w:t>húmeda</w:t>
            </w:r>
            <w:proofErr w:type="spellEnd"/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816</w:t>
            </w:r>
          </w:p>
        </w:tc>
        <w:tc>
          <w:tcPr>
            <w:tcW w:w="1729" w:type="dxa"/>
          </w:tcPr>
          <w:p w:rsidR="00FE1EA2" w:rsidRDefault="00C031CF" w:rsidP="008E720B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873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1.562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92 %</w:t>
            </w:r>
          </w:p>
        </w:tc>
      </w:tr>
      <w:tr w:rsidR="00FE1EA2" w:rsidTr="00141B88">
        <w:tc>
          <w:tcPr>
            <w:cnfStyle w:val="001000000000"/>
            <w:tcW w:w="1728" w:type="dxa"/>
          </w:tcPr>
          <w:p w:rsidR="00FE1EA2" w:rsidRDefault="00FE1EA2" w:rsidP="008E72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Santa Fe Centro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576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801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1.155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101 %</w:t>
            </w:r>
          </w:p>
        </w:tc>
      </w:tr>
      <w:tr w:rsidR="00814F53" w:rsidTr="00141B88">
        <w:trPr>
          <w:cnfStyle w:val="000000100000"/>
        </w:trPr>
        <w:tc>
          <w:tcPr>
            <w:cnfStyle w:val="001000000000"/>
            <w:tcW w:w="1728" w:type="dxa"/>
          </w:tcPr>
          <w:p w:rsidR="00FE1EA2" w:rsidRDefault="00FE1EA2" w:rsidP="008E720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Feed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lot</w:t>
            </w:r>
            <w:proofErr w:type="spellEnd"/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728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1.104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1.409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93 %</w:t>
            </w:r>
          </w:p>
        </w:tc>
      </w:tr>
      <w:tr w:rsidR="00FE1EA2" w:rsidTr="00141B88">
        <w:tc>
          <w:tcPr>
            <w:cnfStyle w:val="001000000000"/>
            <w:tcW w:w="6915" w:type="dxa"/>
            <w:gridSpan w:val="4"/>
          </w:tcPr>
          <w:p w:rsidR="00FE1EA2" w:rsidRDefault="00FE1EA2" w:rsidP="008E72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Promedio aumento entre Marzo 2012 y Marzo 2014</w:t>
            </w:r>
          </w:p>
        </w:tc>
        <w:tc>
          <w:tcPr>
            <w:tcW w:w="1729" w:type="dxa"/>
          </w:tcPr>
          <w:p w:rsidR="00FE1EA2" w:rsidRDefault="00FE1EA2" w:rsidP="008E720B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95,33 %</w:t>
            </w:r>
          </w:p>
        </w:tc>
      </w:tr>
    </w:tbl>
    <w:p w:rsidR="0084637F" w:rsidRDefault="00141B88">
      <w:pPr>
        <w:rPr>
          <w:lang w:val="es-ES"/>
        </w:rPr>
      </w:pPr>
      <w:r>
        <w:rPr>
          <w:lang w:val="es-ES"/>
        </w:rPr>
        <w:t>Elaboración propia con datos del MINAGRI</w:t>
      </w:r>
    </w:p>
    <w:p w:rsidR="0084637F" w:rsidRPr="0084637F" w:rsidRDefault="0084637F">
      <w:pPr>
        <w:rPr>
          <w:b/>
          <w:lang w:val="es-ES"/>
        </w:rPr>
      </w:pPr>
      <w:r w:rsidRPr="0084637F">
        <w:rPr>
          <w:b/>
          <w:lang w:val="es-ES"/>
        </w:rPr>
        <w:t>¿Qué rubro tuvo mayor aumento?</w:t>
      </w:r>
    </w:p>
    <w:p w:rsidR="0084637F" w:rsidRDefault="0084637F" w:rsidP="0084637F">
      <w:pPr>
        <w:rPr>
          <w:lang w:val="es-ES"/>
        </w:rPr>
      </w:pPr>
      <w:r>
        <w:rPr>
          <w:lang w:val="es-ES"/>
        </w:rPr>
        <w:t xml:space="preserve">Vamos analizar dentro de los costos cual de las variables es la que más aumento sufrió entre en estos 2 últimos años. Para este análisis tomaremos como base el modelo de alta producción de la pampa </w:t>
      </w:r>
      <w:proofErr w:type="spellStart"/>
      <w:r>
        <w:rPr>
          <w:lang w:val="es-ES"/>
        </w:rPr>
        <w:t>subhumeda</w:t>
      </w:r>
      <w:proofErr w:type="spellEnd"/>
      <w:r>
        <w:rPr>
          <w:lang w:val="es-ES"/>
        </w:rPr>
        <w:t xml:space="preserve"> (Cuadro 4).</w:t>
      </w:r>
    </w:p>
    <w:p w:rsidR="005D72D8" w:rsidRDefault="005D72D8" w:rsidP="0084637F">
      <w:pPr>
        <w:rPr>
          <w:lang w:val="es-ES"/>
        </w:rPr>
      </w:pPr>
    </w:p>
    <w:p w:rsidR="0084637F" w:rsidRDefault="0084637F" w:rsidP="0084637F">
      <w:pPr>
        <w:rPr>
          <w:lang w:val="es-ES"/>
        </w:rPr>
      </w:pPr>
      <w:r>
        <w:rPr>
          <w:lang w:val="es-ES"/>
        </w:rPr>
        <w:lastRenderedPageBreak/>
        <w:t xml:space="preserve">Cuadro 2: Aumento de costos </w:t>
      </w:r>
    </w:p>
    <w:tbl>
      <w:tblPr>
        <w:tblStyle w:val="Cuadrculamedia1-nfasis5"/>
        <w:tblW w:w="0" w:type="auto"/>
        <w:tblLook w:val="04A0"/>
      </w:tblPr>
      <w:tblGrid>
        <w:gridCol w:w="2457"/>
        <w:gridCol w:w="2111"/>
        <w:gridCol w:w="2149"/>
        <w:gridCol w:w="2003"/>
      </w:tblGrid>
      <w:tr w:rsidR="00781A41" w:rsidTr="00781A41">
        <w:trPr>
          <w:cnfStyle w:val="100000000000"/>
          <w:trHeight w:val="317"/>
        </w:trPr>
        <w:tc>
          <w:tcPr>
            <w:cnfStyle w:val="001000000000"/>
            <w:tcW w:w="2457" w:type="dxa"/>
          </w:tcPr>
          <w:p w:rsidR="00781A41" w:rsidRDefault="00781A41" w:rsidP="00557444">
            <w:pPr>
              <w:rPr>
                <w:lang w:val="es-ES"/>
              </w:rPr>
            </w:pPr>
            <w:r>
              <w:rPr>
                <w:lang w:val="es-ES"/>
              </w:rPr>
              <w:t>Costos</w:t>
            </w:r>
          </w:p>
        </w:tc>
        <w:tc>
          <w:tcPr>
            <w:tcW w:w="2111" w:type="dxa"/>
          </w:tcPr>
          <w:p w:rsidR="00781A41" w:rsidRDefault="00781A41" w:rsidP="00557444">
            <w:pPr>
              <w:cnfStyle w:val="100000000000"/>
              <w:rPr>
                <w:lang w:val="es-ES"/>
              </w:rPr>
            </w:pPr>
            <w:r>
              <w:rPr>
                <w:lang w:val="es-ES"/>
              </w:rPr>
              <w:t>Marzo 2012</w:t>
            </w:r>
          </w:p>
          <w:p w:rsidR="00781A41" w:rsidRDefault="00781A41" w:rsidP="00557444">
            <w:pPr>
              <w:cnfStyle w:val="100000000000"/>
              <w:rPr>
                <w:lang w:val="es-ES"/>
              </w:rPr>
            </w:pPr>
            <w:r>
              <w:rPr>
                <w:lang w:val="es-ES"/>
              </w:rPr>
              <w:t>($/Cabeza)</w:t>
            </w:r>
          </w:p>
        </w:tc>
        <w:tc>
          <w:tcPr>
            <w:tcW w:w="2149" w:type="dxa"/>
          </w:tcPr>
          <w:p w:rsidR="00781A41" w:rsidRDefault="00781A41" w:rsidP="00557444">
            <w:pPr>
              <w:cnfStyle w:val="100000000000"/>
              <w:rPr>
                <w:lang w:val="es-ES"/>
              </w:rPr>
            </w:pPr>
            <w:r>
              <w:rPr>
                <w:lang w:val="es-ES"/>
              </w:rPr>
              <w:t>Marzo 2014 ($/Cabeza)</w:t>
            </w:r>
          </w:p>
        </w:tc>
        <w:tc>
          <w:tcPr>
            <w:tcW w:w="2003" w:type="dxa"/>
          </w:tcPr>
          <w:p w:rsidR="00781A41" w:rsidRDefault="00781A41" w:rsidP="00557444">
            <w:pPr>
              <w:cnfStyle w:val="100000000000"/>
              <w:rPr>
                <w:lang w:val="es-ES"/>
              </w:rPr>
            </w:pPr>
            <w:r>
              <w:rPr>
                <w:lang w:val="es-ES"/>
              </w:rPr>
              <w:t>Diferencia</w:t>
            </w:r>
          </w:p>
        </w:tc>
      </w:tr>
      <w:tr w:rsidR="00781A41" w:rsidTr="00781A41">
        <w:trPr>
          <w:cnfStyle w:val="000000100000"/>
          <w:trHeight w:val="1734"/>
        </w:trPr>
        <w:tc>
          <w:tcPr>
            <w:cnfStyle w:val="001000000000"/>
            <w:tcW w:w="2457" w:type="dxa"/>
          </w:tcPr>
          <w:p w:rsidR="00781A41" w:rsidRDefault="00781A41" w:rsidP="00557444">
            <w:pPr>
              <w:rPr>
                <w:lang w:val="es-ES"/>
              </w:rPr>
            </w:pPr>
            <w:r>
              <w:rPr>
                <w:lang w:val="es-ES"/>
              </w:rPr>
              <w:t>Personal</w:t>
            </w:r>
          </w:p>
          <w:p w:rsidR="00781A41" w:rsidRDefault="00781A41" w:rsidP="00557444">
            <w:pPr>
              <w:rPr>
                <w:lang w:val="es-ES"/>
              </w:rPr>
            </w:pPr>
            <w:r>
              <w:rPr>
                <w:lang w:val="es-ES"/>
              </w:rPr>
              <w:t>Sanidad</w:t>
            </w:r>
          </w:p>
          <w:p w:rsidR="00781A41" w:rsidRDefault="00781A41" w:rsidP="00557444">
            <w:pPr>
              <w:rPr>
                <w:lang w:val="es-ES"/>
              </w:rPr>
            </w:pPr>
            <w:r>
              <w:rPr>
                <w:lang w:val="es-ES"/>
              </w:rPr>
              <w:t>Alimentación</w:t>
            </w:r>
          </w:p>
        </w:tc>
        <w:tc>
          <w:tcPr>
            <w:tcW w:w="2111" w:type="dxa"/>
          </w:tcPr>
          <w:p w:rsidR="00781A41" w:rsidRDefault="00781A41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92</w:t>
            </w:r>
          </w:p>
          <w:p w:rsidR="00781A41" w:rsidRDefault="00781A41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  <w:p w:rsidR="00781A41" w:rsidRDefault="00781A41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556</w:t>
            </w:r>
          </w:p>
        </w:tc>
        <w:tc>
          <w:tcPr>
            <w:tcW w:w="2149" w:type="dxa"/>
          </w:tcPr>
          <w:p w:rsidR="00781A41" w:rsidRDefault="00781A41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165</w:t>
            </w:r>
          </w:p>
          <w:p w:rsidR="00781A41" w:rsidRDefault="00781A41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53</w:t>
            </w:r>
          </w:p>
          <w:p w:rsidR="00781A41" w:rsidRDefault="00781A41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1014</w:t>
            </w:r>
          </w:p>
        </w:tc>
        <w:tc>
          <w:tcPr>
            <w:tcW w:w="2003" w:type="dxa"/>
          </w:tcPr>
          <w:p w:rsidR="00781A41" w:rsidRDefault="00781A41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80 %</w:t>
            </w:r>
          </w:p>
          <w:p w:rsidR="00781A41" w:rsidRDefault="00781A41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250 %</w:t>
            </w:r>
          </w:p>
          <w:p w:rsidR="00781A41" w:rsidRDefault="00781A41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83 %</w:t>
            </w:r>
          </w:p>
        </w:tc>
      </w:tr>
      <w:tr w:rsidR="0084637F" w:rsidTr="00781A41">
        <w:tc>
          <w:tcPr>
            <w:cnfStyle w:val="001000000000"/>
            <w:tcW w:w="2457" w:type="dxa"/>
          </w:tcPr>
          <w:p w:rsidR="0084637F" w:rsidRPr="009615C8" w:rsidRDefault="0084637F" w:rsidP="00557444">
            <w:pPr>
              <w:rPr>
                <w:b w:val="0"/>
                <w:lang w:val="es-ES"/>
              </w:rPr>
            </w:pPr>
            <w:r w:rsidRPr="009615C8">
              <w:rPr>
                <w:lang w:val="es-ES"/>
              </w:rPr>
              <w:t>Total costos directos</w:t>
            </w:r>
          </w:p>
        </w:tc>
        <w:tc>
          <w:tcPr>
            <w:tcW w:w="2111" w:type="dxa"/>
          </w:tcPr>
          <w:p w:rsidR="0084637F" w:rsidRPr="009615C8" w:rsidRDefault="0084637F" w:rsidP="00557444">
            <w:pPr>
              <w:cnfStyle w:val="000000000000"/>
              <w:rPr>
                <w:b/>
                <w:lang w:val="es-ES"/>
              </w:rPr>
            </w:pPr>
            <w:r w:rsidRPr="009615C8">
              <w:rPr>
                <w:b/>
                <w:lang w:val="es-ES"/>
              </w:rPr>
              <w:t>664</w:t>
            </w:r>
          </w:p>
        </w:tc>
        <w:tc>
          <w:tcPr>
            <w:tcW w:w="2149" w:type="dxa"/>
          </w:tcPr>
          <w:p w:rsidR="0084637F" w:rsidRPr="009615C8" w:rsidRDefault="0084637F" w:rsidP="00557444">
            <w:pPr>
              <w:cnfStyle w:val="000000000000"/>
              <w:rPr>
                <w:b/>
                <w:lang w:val="es-ES"/>
              </w:rPr>
            </w:pPr>
            <w:r w:rsidRPr="009615C8">
              <w:rPr>
                <w:b/>
                <w:lang w:val="es-ES"/>
              </w:rPr>
              <w:t>1233</w:t>
            </w:r>
          </w:p>
        </w:tc>
        <w:tc>
          <w:tcPr>
            <w:tcW w:w="2003" w:type="dxa"/>
          </w:tcPr>
          <w:p w:rsidR="0084637F" w:rsidRPr="009615C8" w:rsidRDefault="0084637F" w:rsidP="00557444">
            <w:pPr>
              <w:cnfStyle w:val="000000000000"/>
              <w:rPr>
                <w:b/>
                <w:lang w:val="es-ES"/>
              </w:rPr>
            </w:pPr>
            <w:r>
              <w:rPr>
                <w:b/>
                <w:lang w:val="es-ES"/>
              </w:rPr>
              <w:t>85 %</w:t>
            </w:r>
          </w:p>
        </w:tc>
      </w:tr>
      <w:tr w:rsidR="0084637F" w:rsidTr="00781A41">
        <w:trPr>
          <w:cnfStyle w:val="000000100000"/>
          <w:trHeight w:val="1028"/>
        </w:trPr>
        <w:tc>
          <w:tcPr>
            <w:cnfStyle w:val="001000000000"/>
            <w:tcW w:w="2457" w:type="dxa"/>
          </w:tcPr>
          <w:p w:rsidR="0084637F" w:rsidRDefault="0084637F" w:rsidP="00557444">
            <w:pPr>
              <w:rPr>
                <w:lang w:val="es-ES"/>
              </w:rPr>
            </w:pPr>
            <w:r>
              <w:rPr>
                <w:lang w:val="es-ES"/>
              </w:rPr>
              <w:t>Estructura e impuestos</w:t>
            </w:r>
          </w:p>
          <w:p w:rsidR="0084637F" w:rsidRDefault="0084637F" w:rsidP="00557444">
            <w:pPr>
              <w:rPr>
                <w:lang w:val="es-ES"/>
              </w:rPr>
            </w:pPr>
            <w:r>
              <w:rPr>
                <w:lang w:val="es-ES"/>
              </w:rPr>
              <w:t>Amortizaciones</w:t>
            </w:r>
          </w:p>
        </w:tc>
        <w:tc>
          <w:tcPr>
            <w:tcW w:w="2111" w:type="dxa"/>
          </w:tcPr>
          <w:p w:rsidR="0084637F" w:rsidRDefault="0084637F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137</w:t>
            </w:r>
          </w:p>
          <w:p w:rsidR="0084637F" w:rsidRDefault="0084637F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2149" w:type="dxa"/>
          </w:tcPr>
          <w:p w:rsidR="0084637F" w:rsidRDefault="0084637F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287</w:t>
            </w:r>
          </w:p>
          <w:p w:rsidR="0084637F" w:rsidRDefault="0084637F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42</w:t>
            </w:r>
          </w:p>
        </w:tc>
        <w:tc>
          <w:tcPr>
            <w:tcW w:w="2003" w:type="dxa"/>
          </w:tcPr>
          <w:p w:rsidR="0084637F" w:rsidRDefault="0084637F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110 %</w:t>
            </w:r>
          </w:p>
          <w:p w:rsidR="0084637F" w:rsidRDefault="0084637F" w:rsidP="00557444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164 %</w:t>
            </w:r>
          </w:p>
        </w:tc>
      </w:tr>
      <w:tr w:rsidR="0084637F" w:rsidTr="00781A41">
        <w:tc>
          <w:tcPr>
            <w:cnfStyle w:val="001000000000"/>
            <w:tcW w:w="2457" w:type="dxa"/>
          </w:tcPr>
          <w:p w:rsidR="0084637F" w:rsidRPr="009615C8" w:rsidRDefault="0084637F" w:rsidP="00557444">
            <w:pPr>
              <w:rPr>
                <w:b w:val="0"/>
                <w:lang w:val="es-ES"/>
              </w:rPr>
            </w:pPr>
            <w:r w:rsidRPr="009615C8">
              <w:rPr>
                <w:lang w:val="es-ES"/>
              </w:rPr>
              <w:t>Total costos indirectos</w:t>
            </w:r>
          </w:p>
        </w:tc>
        <w:tc>
          <w:tcPr>
            <w:tcW w:w="2111" w:type="dxa"/>
          </w:tcPr>
          <w:p w:rsidR="0084637F" w:rsidRPr="009615C8" w:rsidRDefault="0084637F" w:rsidP="00557444">
            <w:pPr>
              <w:cnfStyle w:val="000000000000"/>
              <w:rPr>
                <w:b/>
                <w:lang w:val="es-ES"/>
              </w:rPr>
            </w:pPr>
            <w:r w:rsidRPr="009615C8">
              <w:rPr>
                <w:b/>
                <w:lang w:val="es-ES"/>
              </w:rPr>
              <w:t>152</w:t>
            </w:r>
          </w:p>
        </w:tc>
        <w:tc>
          <w:tcPr>
            <w:tcW w:w="2149" w:type="dxa"/>
          </w:tcPr>
          <w:p w:rsidR="0084637F" w:rsidRPr="009615C8" w:rsidRDefault="0084637F" w:rsidP="00557444">
            <w:pPr>
              <w:cnfStyle w:val="000000000000"/>
              <w:rPr>
                <w:b/>
                <w:lang w:val="es-ES"/>
              </w:rPr>
            </w:pPr>
            <w:r w:rsidRPr="009615C8">
              <w:rPr>
                <w:b/>
                <w:lang w:val="es-ES"/>
              </w:rPr>
              <w:t>329</w:t>
            </w:r>
          </w:p>
        </w:tc>
        <w:tc>
          <w:tcPr>
            <w:tcW w:w="2003" w:type="dxa"/>
          </w:tcPr>
          <w:p w:rsidR="0084637F" w:rsidRPr="009615C8" w:rsidRDefault="0084637F" w:rsidP="00557444">
            <w:pPr>
              <w:cnfStyle w:val="000000000000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117 %</w:t>
            </w:r>
          </w:p>
        </w:tc>
      </w:tr>
      <w:tr w:rsidR="0084637F" w:rsidTr="00781A41">
        <w:trPr>
          <w:cnfStyle w:val="000000100000"/>
        </w:trPr>
        <w:tc>
          <w:tcPr>
            <w:cnfStyle w:val="001000000000"/>
            <w:tcW w:w="2457" w:type="dxa"/>
          </w:tcPr>
          <w:p w:rsidR="0084637F" w:rsidRPr="009615C8" w:rsidRDefault="0084637F" w:rsidP="00557444">
            <w:pPr>
              <w:rPr>
                <w:b w:val="0"/>
                <w:lang w:val="es-ES"/>
              </w:rPr>
            </w:pPr>
            <w:r w:rsidRPr="009615C8">
              <w:rPr>
                <w:lang w:val="es-ES"/>
              </w:rPr>
              <w:t>TOTAL COSTOS</w:t>
            </w:r>
          </w:p>
        </w:tc>
        <w:tc>
          <w:tcPr>
            <w:tcW w:w="2111" w:type="dxa"/>
          </w:tcPr>
          <w:p w:rsidR="0084637F" w:rsidRPr="009615C8" w:rsidRDefault="0084637F" w:rsidP="00557444">
            <w:pPr>
              <w:cnfStyle w:val="000000100000"/>
              <w:rPr>
                <w:b/>
                <w:lang w:val="es-ES"/>
              </w:rPr>
            </w:pPr>
            <w:r w:rsidRPr="009615C8">
              <w:rPr>
                <w:b/>
                <w:lang w:val="es-ES"/>
              </w:rPr>
              <w:t>816</w:t>
            </w:r>
          </w:p>
        </w:tc>
        <w:tc>
          <w:tcPr>
            <w:tcW w:w="2149" w:type="dxa"/>
          </w:tcPr>
          <w:p w:rsidR="0084637F" w:rsidRPr="009615C8" w:rsidRDefault="0084637F" w:rsidP="00557444">
            <w:pPr>
              <w:cnfStyle w:val="000000100000"/>
              <w:rPr>
                <w:b/>
                <w:lang w:val="es-ES"/>
              </w:rPr>
            </w:pPr>
            <w:r w:rsidRPr="009615C8">
              <w:rPr>
                <w:b/>
                <w:lang w:val="es-ES"/>
              </w:rPr>
              <w:t>1562</w:t>
            </w:r>
          </w:p>
        </w:tc>
        <w:tc>
          <w:tcPr>
            <w:tcW w:w="2003" w:type="dxa"/>
          </w:tcPr>
          <w:p w:rsidR="0084637F" w:rsidRPr="009615C8" w:rsidRDefault="0084637F" w:rsidP="00557444">
            <w:pPr>
              <w:cnfStyle w:val="000000100000"/>
              <w:rPr>
                <w:b/>
                <w:lang w:val="es-ES"/>
              </w:rPr>
            </w:pPr>
            <w:r>
              <w:rPr>
                <w:b/>
                <w:lang w:val="es-ES"/>
              </w:rPr>
              <w:t>92 %</w:t>
            </w:r>
          </w:p>
        </w:tc>
      </w:tr>
    </w:tbl>
    <w:p w:rsidR="0084637F" w:rsidRDefault="0084637F" w:rsidP="0084637F">
      <w:pPr>
        <w:rPr>
          <w:lang w:val="es-ES"/>
        </w:rPr>
      </w:pPr>
      <w:r>
        <w:rPr>
          <w:lang w:val="es-ES"/>
        </w:rPr>
        <w:t>Elaboración propia con datos del MINAGRI</w:t>
      </w:r>
    </w:p>
    <w:p w:rsidR="00AF2AA1" w:rsidRPr="0084637F" w:rsidRDefault="0084637F">
      <w:pPr>
        <w:rPr>
          <w:b/>
          <w:lang w:val="es-ES"/>
        </w:rPr>
      </w:pPr>
      <w:r w:rsidRPr="0084637F">
        <w:rPr>
          <w:b/>
          <w:lang w:val="es-ES"/>
        </w:rPr>
        <w:t>Aumento del novillo en pie</w:t>
      </w:r>
    </w:p>
    <w:p w:rsidR="00AF2AA1" w:rsidRDefault="0032169C">
      <w:pPr>
        <w:rPr>
          <w:lang w:val="es-ES"/>
        </w:rPr>
      </w:pPr>
      <w:r>
        <w:rPr>
          <w:lang w:val="es-ES"/>
        </w:rPr>
        <w:t>Si a este aumento lo comparamos con la evolución del precio promedio del novillo</w:t>
      </w:r>
      <w:r w:rsidR="001E40A8">
        <w:rPr>
          <w:lang w:val="es-ES"/>
        </w:rPr>
        <w:t xml:space="preserve"> en pie </w:t>
      </w:r>
      <w:r>
        <w:rPr>
          <w:lang w:val="es-ES"/>
        </w:rPr>
        <w:t xml:space="preserve"> en </w:t>
      </w:r>
      <w:proofErr w:type="spellStart"/>
      <w:r>
        <w:rPr>
          <w:lang w:val="es-ES"/>
        </w:rPr>
        <w:t>Liniers</w:t>
      </w:r>
      <w:proofErr w:type="spellEnd"/>
      <w:r w:rsidR="005D72D8">
        <w:rPr>
          <w:lang w:val="es-ES"/>
        </w:rPr>
        <w:t xml:space="preserve"> (Cuadro 3</w:t>
      </w:r>
      <w:r w:rsidR="001E40A8">
        <w:rPr>
          <w:lang w:val="es-ES"/>
        </w:rPr>
        <w:t>)</w:t>
      </w:r>
      <w:r w:rsidR="008E720B">
        <w:rPr>
          <w:lang w:val="es-ES"/>
        </w:rPr>
        <w:t>, o</w:t>
      </w:r>
      <w:r w:rsidR="005D72D8">
        <w:rPr>
          <w:lang w:val="es-ES"/>
        </w:rPr>
        <w:t>bservaremos que el mismo tuvo un incremento</w:t>
      </w:r>
      <w:r w:rsidR="001E40A8">
        <w:rPr>
          <w:lang w:val="es-ES"/>
        </w:rPr>
        <w:t xml:space="preserve"> de tan solo un 53 %.</w:t>
      </w:r>
      <w:r w:rsidR="005D72D8">
        <w:rPr>
          <w:lang w:val="es-ES"/>
        </w:rPr>
        <w:t xml:space="preserve"> Siendo los kilogramos de venta son iguales en el 2012 que en el 2014, concluiremos  que el ingreso bruto de los distintos modelos tuvo un incremento de tan solo 53 %.</w:t>
      </w:r>
    </w:p>
    <w:p w:rsidR="005D72D8" w:rsidRDefault="005D72D8">
      <w:pPr>
        <w:rPr>
          <w:lang w:val="es-ES"/>
        </w:rPr>
      </w:pPr>
    </w:p>
    <w:p w:rsidR="00141B88" w:rsidRDefault="005D72D8">
      <w:pPr>
        <w:rPr>
          <w:lang w:val="es-ES"/>
        </w:rPr>
      </w:pPr>
      <w:r>
        <w:rPr>
          <w:lang w:val="es-ES"/>
        </w:rPr>
        <w:t>Cuadro 3</w:t>
      </w:r>
      <w:r w:rsidR="00141B88">
        <w:rPr>
          <w:lang w:val="es-ES"/>
        </w:rPr>
        <w:t>: Aumento del precio del novillo en pie en los últimos 2 años</w:t>
      </w:r>
    </w:p>
    <w:tbl>
      <w:tblPr>
        <w:tblStyle w:val="Cuadrculamedia1-nfasis5"/>
        <w:tblW w:w="0" w:type="auto"/>
        <w:tblLook w:val="04A0"/>
      </w:tblPr>
      <w:tblGrid>
        <w:gridCol w:w="2881"/>
        <w:gridCol w:w="2881"/>
        <w:gridCol w:w="2882"/>
      </w:tblGrid>
      <w:tr w:rsidR="00E3191E" w:rsidTr="00141B88">
        <w:trPr>
          <w:cnfStyle w:val="100000000000"/>
        </w:trPr>
        <w:tc>
          <w:tcPr>
            <w:cnfStyle w:val="001000000000"/>
            <w:tcW w:w="2881" w:type="dxa"/>
          </w:tcPr>
          <w:p w:rsidR="00E3191E" w:rsidRDefault="00E3191E" w:rsidP="00DE68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Precio promedio del novillo en </w:t>
            </w:r>
            <w:proofErr w:type="spellStart"/>
            <w:r>
              <w:rPr>
                <w:lang w:val="es-ES"/>
              </w:rPr>
              <w:t>Liniers</w:t>
            </w:r>
            <w:proofErr w:type="spellEnd"/>
            <w:r>
              <w:rPr>
                <w:lang w:val="es-ES"/>
              </w:rPr>
              <w:t xml:space="preserve"> Marzo 2012</w:t>
            </w:r>
          </w:p>
        </w:tc>
        <w:tc>
          <w:tcPr>
            <w:tcW w:w="2881" w:type="dxa"/>
          </w:tcPr>
          <w:p w:rsidR="00E3191E" w:rsidRDefault="00E3191E" w:rsidP="00DE6817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 xml:space="preserve">Precio promedio del novillo en </w:t>
            </w:r>
            <w:proofErr w:type="spellStart"/>
            <w:r>
              <w:rPr>
                <w:lang w:val="es-ES"/>
              </w:rPr>
              <w:t>Liniers</w:t>
            </w:r>
            <w:proofErr w:type="spellEnd"/>
            <w:r>
              <w:rPr>
                <w:lang w:val="es-ES"/>
              </w:rPr>
              <w:t xml:space="preserve"> Marzo 2014</w:t>
            </w:r>
          </w:p>
        </w:tc>
        <w:tc>
          <w:tcPr>
            <w:tcW w:w="2882" w:type="dxa"/>
          </w:tcPr>
          <w:p w:rsidR="00E3191E" w:rsidRDefault="00E3191E" w:rsidP="00DE6817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>Aumento del novillo entre 2012 y 2013</w:t>
            </w:r>
          </w:p>
        </w:tc>
      </w:tr>
      <w:tr w:rsidR="00E3191E" w:rsidTr="00141B88">
        <w:trPr>
          <w:cnfStyle w:val="000000100000"/>
        </w:trPr>
        <w:tc>
          <w:tcPr>
            <w:cnfStyle w:val="001000000000"/>
            <w:tcW w:w="2881" w:type="dxa"/>
          </w:tcPr>
          <w:p w:rsidR="00E3191E" w:rsidRDefault="00E3191E" w:rsidP="00DE68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9,57</w:t>
            </w:r>
          </w:p>
        </w:tc>
        <w:tc>
          <w:tcPr>
            <w:tcW w:w="2881" w:type="dxa"/>
          </w:tcPr>
          <w:p w:rsidR="00E3191E" w:rsidRDefault="00E3191E" w:rsidP="00DE6817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14,68</w:t>
            </w:r>
          </w:p>
        </w:tc>
        <w:tc>
          <w:tcPr>
            <w:tcW w:w="2882" w:type="dxa"/>
          </w:tcPr>
          <w:p w:rsidR="00E3191E" w:rsidRDefault="00E3191E" w:rsidP="00DE6817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53 %</w:t>
            </w:r>
          </w:p>
        </w:tc>
      </w:tr>
    </w:tbl>
    <w:p w:rsidR="00E3191E" w:rsidRDefault="00141B88">
      <w:pPr>
        <w:rPr>
          <w:lang w:val="es-ES"/>
        </w:rPr>
      </w:pPr>
      <w:r>
        <w:rPr>
          <w:lang w:val="es-ES"/>
        </w:rPr>
        <w:t xml:space="preserve">Elaboración propia con datos del mercado de </w:t>
      </w:r>
      <w:proofErr w:type="spellStart"/>
      <w:r>
        <w:rPr>
          <w:lang w:val="es-ES"/>
        </w:rPr>
        <w:t>Liniers</w:t>
      </w:r>
      <w:proofErr w:type="spellEnd"/>
    </w:p>
    <w:p w:rsidR="00781A41" w:rsidRDefault="00781A41">
      <w:pPr>
        <w:rPr>
          <w:lang w:val="es-ES"/>
        </w:rPr>
      </w:pPr>
    </w:p>
    <w:p w:rsidR="008E720B" w:rsidRPr="005D72D8" w:rsidRDefault="005D72D8">
      <w:pPr>
        <w:rPr>
          <w:b/>
          <w:lang w:val="es-ES"/>
        </w:rPr>
      </w:pPr>
      <w:r>
        <w:rPr>
          <w:b/>
          <w:lang w:val="es-ES"/>
        </w:rPr>
        <w:t>Más kilogramos de novillos para pagar los costos</w:t>
      </w:r>
    </w:p>
    <w:p w:rsidR="00141B88" w:rsidRDefault="005D72D8">
      <w:pPr>
        <w:rPr>
          <w:lang w:val="es-ES"/>
        </w:rPr>
      </w:pPr>
      <w:r>
        <w:rPr>
          <w:lang w:val="es-ES"/>
        </w:rPr>
        <w:t>Este incremento del 95,33 % en los costos y de tan solo el 53 % en el ingreso bruto, nos  está indicando una merma de</w:t>
      </w:r>
      <w:r w:rsidR="001E40A8">
        <w:rPr>
          <w:lang w:val="es-ES"/>
        </w:rPr>
        <w:t xml:space="preserve"> competitividad del sector de invernada, ya que la necesidad de Kilogramos de novillo para cubrir los costos</w:t>
      </w:r>
      <w:r>
        <w:rPr>
          <w:lang w:val="es-ES"/>
        </w:rPr>
        <w:t xml:space="preserve"> directos e indirectos (Cuadro 4</w:t>
      </w:r>
      <w:r w:rsidR="001E40A8">
        <w:rPr>
          <w:lang w:val="es-ES"/>
        </w:rPr>
        <w:t>) es mucho mayor en la actualidad.</w:t>
      </w:r>
    </w:p>
    <w:p w:rsidR="00141B88" w:rsidRDefault="005D72D8">
      <w:pPr>
        <w:rPr>
          <w:lang w:val="es-ES"/>
        </w:rPr>
      </w:pPr>
      <w:r>
        <w:rPr>
          <w:lang w:val="es-ES"/>
        </w:rPr>
        <w:lastRenderedPageBreak/>
        <w:t>Cuadro 4</w:t>
      </w:r>
      <w:r w:rsidR="00141B88">
        <w:rPr>
          <w:lang w:val="es-ES"/>
        </w:rPr>
        <w:t xml:space="preserve">: Diferencia de kilogramos de novillo para cubrir los costos </w:t>
      </w:r>
    </w:p>
    <w:tbl>
      <w:tblPr>
        <w:tblStyle w:val="Cuadrculamedia1-nfasis5"/>
        <w:tblW w:w="0" w:type="auto"/>
        <w:tblLook w:val="04A0"/>
      </w:tblPr>
      <w:tblGrid>
        <w:gridCol w:w="1885"/>
        <w:gridCol w:w="1736"/>
        <w:gridCol w:w="1740"/>
        <w:gridCol w:w="1549"/>
        <w:gridCol w:w="1810"/>
      </w:tblGrid>
      <w:tr w:rsidR="00141B88" w:rsidTr="0084637F">
        <w:trPr>
          <w:cnfStyle w:val="100000000000"/>
        </w:trPr>
        <w:tc>
          <w:tcPr>
            <w:cnfStyle w:val="001000000000"/>
            <w:tcW w:w="1885" w:type="dxa"/>
          </w:tcPr>
          <w:p w:rsidR="00141B88" w:rsidRDefault="00141B88" w:rsidP="00DE6817">
            <w:pPr>
              <w:jc w:val="center"/>
              <w:rPr>
                <w:lang w:val="es-ES"/>
              </w:rPr>
            </w:pPr>
          </w:p>
        </w:tc>
        <w:tc>
          <w:tcPr>
            <w:tcW w:w="1736" w:type="dxa"/>
          </w:tcPr>
          <w:p w:rsidR="00141B88" w:rsidRDefault="00141B88" w:rsidP="00DE6817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 xml:space="preserve">Kg de novillo para cubrir costos  2012 </w:t>
            </w:r>
          </w:p>
        </w:tc>
        <w:tc>
          <w:tcPr>
            <w:tcW w:w="1740" w:type="dxa"/>
          </w:tcPr>
          <w:p w:rsidR="00141B88" w:rsidRDefault="00141B88" w:rsidP="00DE6817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>Kg de novillo para cubrir costos  2013</w:t>
            </w:r>
          </w:p>
        </w:tc>
        <w:tc>
          <w:tcPr>
            <w:tcW w:w="1549" w:type="dxa"/>
          </w:tcPr>
          <w:p w:rsidR="00141B88" w:rsidRDefault="00141B88" w:rsidP="00DE6817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 xml:space="preserve">Diferencia </w:t>
            </w:r>
          </w:p>
          <w:p w:rsidR="0084637F" w:rsidRDefault="0084637F" w:rsidP="00DE6817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>(Kg de novillo)</w:t>
            </w:r>
          </w:p>
        </w:tc>
        <w:tc>
          <w:tcPr>
            <w:tcW w:w="1810" w:type="dxa"/>
          </w:tcPr>
          <w:p w:rsidR="00141B88" w:rsidRDefault="00141B88" w:rsidP="00DE6817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>Aumento de Kg de novillo para cubrir costos  entre 2012 y 2013</w:t>
            </w:r>
          </w:p>
        </w:tc>
      </w:tr>
      <w:tr w:rsidR="00141B88" w:rsidTr="0084637F">
        <w:trPr>
          <w:cnfStyle w:val="000000100000"/>
        </w:trPr>
        <w:tc>
          <w:tcPr>
            <w:cnfStyle w:val="001000000000"/>
            <w:tcW w:w="1885" w:type="dxa"/>
          </w:tcPr>
          <w:p w:rsidR="00141B88" w:rsidRDefault="00141B88" w:rsidP="00DE68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Pampa </w:t>
            </w:r>
            <w:proofErr w:type="spellStart"/>
            <w:r>
              <w:rPr>
                <w:lang w:val="es-ES"/>
              </w:rPr>
              <w:t>Subhúmeda</w:t>
            </w:r>
            <w:proofErr w:type="spellEnd"/>
          </w:p>
        </w:tc>
        <w:tc>
          <w:tcPr>
            <w:tcW w:w="1736" w:type="dxa"/>
          </w:tcPr>
          <w:p w:rsidR="00141B88" w:rsidRDefault="00141B88" w:rsidP="00DE6817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87,74</w:t>
            </w:r>
          </w:p>
        </w:tc>
        <w:tc>
          <w:tcPr>
            <w:tcW w:w="1740" w:type="dxa"/>
          </w:tcPr>
          <w:p w:rsidR="00141B88" w:rsidRDefault="00141B88" w:rsidP="00DE6817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106,40</w:t>
            </w:r>
          </w:p>
        </w:tc>
        <w:tc>
          <w:tcPr>
            <w:tcW w:w="1549" w:type="dxa"/>
          </w:tcPr>
          <w:p w:rsidR="00141B88" w:rsidRDefault="00141B88" w:rsidP="00DE6817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18,66</w:t>
            </w:r>
          </w:p>
        </w:tc>
        <w:tc>
          <w:tcPr>
            <w:tcW w:w="1810" w:type="dxa"/>
          </w:tcPr>
          <w:p w:rsidR="00141B88" w:rsidRDefault="00141B88" w:rsidP="00DE6817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21 %</w:t>
            </w:r>
          </w:p>
        </w:tc>
      </w:tr>
      <w:tr w:rsidR="00141B88" w:rsidTr="0084637F">
        <w:tc>
          <w:tcPr>
            <w:cnfStyle w:val="001000000000"/>
            <w:tcW w:w="1885" w:type="dxa"/>
          </w:tcPr>
          <w:p w:rsidR="00141B88" w:rsidRDefault="00141B88" w:rsidP="00DE68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Santa Fe Centro</w:t>
            </w:r>
          </w:p>
        </w:tc>
        <w:tc>
          <w:tcPr>
            <w:tcW w:w="1736" w:type="dxa"/>
          </w:tcPr>
          <w:p w:rsidR="00141B88" w:rsidRDefault="00141B88" w:rsidP="00DE6817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60,18</w:t>
            </w:r>
          </w:p>
        </w:tc>
        <w:tc>
          <w:tcPr>
            <w:tcW w:w="1740" w:type="dxa"/>
          </w:tcPr>
          <w:p w:rsidR="00141B88" w:rsidRDefault="00141B88" w:rsidP="00DE6817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78,67</w:t>
            </w:r>
          </w:p>
        </w:tc>
        <w:tc>
          <w:tcPr>
            <w:tcW w:w="1549" w:type="dxa"/>
          </w:tcPr>
          <w:p w:rsidR="00141B88" w:rsidRDefault="00141B88" w:rsidP="00DE6817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18,49</w:t>
            </w:r>
          </w:p>
        </w:tc>
        <w:tc>
          <w:tcPr>
            <w:tcW w:w="1810" w:type="dxa"/>
          </w:tcPr>
          <w:p w:rsidR="00141B88" w:rsidRDefault="00141B88" w:rsidP="00DE6817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30 %</w:t>
            </w:r>
          </w:p>
        </w:tc>
      </w:tr>
      <w:tr w:rsidR="00141B88" w:rsidTr="0084637F">
        <w:trPr>
          <w:cnfStyle w:val="000000100000"/>
        </w:trPr>
        <w:tc>
          <w:tcPr>
            <w:cnfStyle w:val="001000000000"/>
            <w:tcW w:w="1885" w:type="dxa"/>
          </w:tcPr>
          <w:p w:rsidR="00141B88" w:rsidRDefault="00141B88" w:rsidP="00DE6817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Feed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lot</w:t>
            </w:r>
            <w:proofErr w:type="spellEnd"/>
          </w:p>
        </w:tc>
        <w:tc>
          <w:tcPr>
            <w:tcW w:w="1736" w:type="dxa"/>
          </w:tcPr>
          <w:p w:rsidR="00141B88" w:rsidRDefault="00141B88" w:rsidP="00DE6817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76,07</w:t>
            </w:r>
          </w:p>
        </w:tc>
        <w:tc>
          <w:tcPr>
            <w:tcW w:w="1740" w:type="dxa"/>
          </w:tcPr>
          <w:p w:rsidR="00141B88" w:rsidRDefault="00141B88" w:rsidP="00DE6817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95,98</w:t>
            </w:r>
          </w:p>
        </w:tc>
        <w:tc>
          <w:tcPr>
            <w:tcW w:w="1549" w:type="dxa"/>
          </w:tcPr>
          <w:p w:rsidR="00141B88" w:rsidRDefault="0084637F" w:rsidP="00DE6817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19,91</w:t>
            </w:r>
          </w:p>
        </w:tc>
        <w:tc>
          <w:tcPr>
            <w:tcW w:w="1810" w:type="dxa"/>
          </w:tcPr>
          <w:p w:rsidR="00141B88" w:rsidRDefault="00141B88" w:rsidP="00DE6817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26 %</w:t>
            </w:r>
          </w:p>
        </w:tc>
      </w:tr>
      <w:tr w:rsidR="00141B88" w:rsidTr="0084637F">
        <w:tc>
          <w:tcPr>
            <w:cnfStyle w:val="001000000000"/>
            <w:tcW w:w="5361" w:type="dxa"/>
            <w:gridSpan w:val="3"/>
          </w:tcPr>
          <w:p w:rsidR="00141B88" w:rsidRPr="0084637F" w:rsidRDefault="00141B88" w:rsidP="00DE6817">
            <w:pPr>
              <w:jc w:val="center"/>
              <w:rPr>
                <w:lang w:val="es-ES"/>
              </w:rPr>
            </w:pPr>
            <w:r w:rsidRPr="0084637F">
              <w:rPr>
                <w:lang w:val="es-ES"/>
              </w:rPr>
              <w:t>Aumento promedio de Kilogramos de novillos necesarios para cubrir los costos en el sector invernada en los últimos 2 años</w:t>
            </w:r>
          </w:p>
        </w:tc>
        <w:tc>
          <w:tcPr>
            <w:tcW w:w="1549" w:type="dxa"/>
          </w:tcPr>
          <w:p w:rsidR="00141B88" w:rsidRPr="0084637F" w:rsidRDefault="0084637F" w:rsidP="00DE6817">
            <w:pPr>
              <w:jc w:val="center"/>
              <w:cnfStyle w:val="000000000000"/>
              <w:rPr>
                <w:b/>
                <w:lang w:val="es-ES"/>
              </w:rPr>
            </w:pPr>
            <w:r w:rsidRPr="0084637F">
              <w:rPr>
                <w:b/>
                <w:lang w:val="es-ES"/>
              </w:rPr>
              <w:t>19,02</w:t>
            </w:r>
          </w:p>
        </w:tc>
        <w:tc>
          <w:tcPr>
            <w:tcW w:w="1810" w:type="dxa"/>
          </w:tcPr>
          <w:p w:rsidR="00141B88" w:rsidRPr="0084637F" w:rsidRDefault="00141B88" w:rsidP="00DE6817">
            <w:pPr>
              <w:jc w:val="center"/>
              <w:cnfStyle w:val="000000000000"/>
              <w:rPr>
                <w:b/>
                <w:lang w:val="es-ES"/>
              </w:rPr>
            </w:pPr>
            <w:r w:rsidRPr="0084637F">
              <w:rPr>
                <w:b/>
                <w:lang w:val="es-ES"/>
              </w:rPr>
              <w:t>25,66 %</w:t>
            </w:r>
          </w:p>
        </w:tc>
      </w:tr>
    </w:tbl>
    <w:p w:rsidR="00141B88" w:rsidRDefault="00141B88" w:rsidP="00141B88">
      <w:pPr>
        <w:rPr>
          <w:lang w:val="es-ES"/>
        </w:rPr>
      </w:pPr>
      <w:r>
        <w:rPr>
          <w:lang w:val="es-ES"/>
        </w:rPr>
        <w:t xml:space="preserve">Elaboración propia con datos del MINAGRI y Mercado de </w:t>
      </w:r>
      <w:proofErr w:type="spellStart"/>
      <w:r>
        <w:rPr>
          <w:lang w:val="es-ES"/>
        </w:rPr>
        <w:t>Liniers</w:t>
      </w:r>
      <w:proofErr w:type="spellEnd"/>
    </w:p>
    <w:p w:rsidR="00FE1EA2" w:rsidRDefault="00FE1EA2">
      <w:pPr>
        <w:rPr>
          <w:lang w:val="es-ES"/>
        </w:rPr>
      </w:pPr>
    </w:p>
    <w:p w:rsidR="005B0F9B" w:rsidRDefault="00814F53">
      <w:pPr>
        <w:rPr>
          <w:lang w:val="es-ES"/>
        </w:rPr>
      </w:pPr>
      <w:r>
        <w:rPr>
          <w:lang w:val="es-ES"/>
        </w:rPr>
        <w:t xml:space="preserve">Conclusiones: </w:t>
      </w:r>
    </w:p>
    <w:p w:rsidR="00814F53" w:rsidRDefault="00814F53" w:rsidP="00814F53">
      <w:pPr>
        <w:pStyle w:val="Prrafodelista"/>
        <w:numPr>
          <w:ilvl w:val="0"/>
          <w:numId w:val="1"/>
        </w:numPr>
      </w:pPr>
      <w:r>
        <w:t>El sector de invernada perdió</w:t>
      </w:r>
      <w:r w:rsidR="00141B88">
        <w:t xml:space="preserve"> competitividad en los últimos </w:t>
      </w:r>
      <w:r>
        <w:t>2 años</w:t>
      </w:r>
      <w:r w:rsidR="00141B88">
        <w:t>.</w:t>
      </w:r>
    </w:p>
    <w:p w:rsidR="00814F53" w:rsidRDefault="00814F53" w:rsidP="00814F53">
      <w:pPr>
        <w:pStyle w:val="Prrafodelista"/>
        <w:numPr>
          <w:ilvl w:val="0"/>
          <w:numId w:val="1"/>
        </w:numPr>
      </w:pPr>
      <w:r>
        <w:t>La misma se d</w:t>
      </w:r>
      <w:r w:rsidR="005D72D8">
        <w:t>ebe a que sus costos</w:t>
      </w:r>
      <w:r w:rsidR="00781A41">
        <w:t xml:space="preserve"> aumentaron </w:t>
      </w:r>
      <w:r>
        <w:t>un 95,33 %, mientras que su ingreso –valor n</w:t>
      </w:r>
      <w:r w:rsidR="00141B88">
        <w:t>ovillo- solo lo hizo en un 53</w:t>
      </w:r>
      <w:r>
        <w:t xml:space="preserve"> %.</w:t>
      </w:r>
    </w:p>
    <w:p w:rsidR="00814F53" w:rsidRDefault="00781A41" w:rsidP="00814F53">
      <w:pPr>
        <w:pStyle w:val="Prrafodelista"/>
        <w:numPr>
          <w:ilvl w:val="0"/>
          <w:numId w:val="1"/>
        </w:numPr>
      </w:pPr>
      <w:r>
        <w:t>Por lo</w:t>
      </w:r>
      <w:r w:rsidR="00814F53">
        <w:t xml:space="preserve"> q</w:t>
      </w:r>
      <w:r w:rsidR="0084637F">
        <w:t>ue se necesita 19 Kg más de</w:t>
      </w:r>
      <w:r w:rsidR="00814F53">
        <w:t xml:space="preserve"> novillos –un </w:t>
      </w:r>
      <w:r w:rsidR="0084637F">
        <w:t>25,66 %- para poder cubrir</w:t>
      </w:r>
      <w:r w:rsidR="00814F53">
        <w:t xml:space="preserve"> los costos en el 2014 con respeto al 2012.</w:t>
      </w:r>
    </w:p>
    <w:sectPr w:rsidR="00814F53" w:rsidSect="008E6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F53"/>
    <w:multiLevelType w:val="hybridMultilevel"/>
    <w:tmpl w:val="89DC3C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EA2"/>
    <w:rsid w:val="00000ADB"/>
    <w:rsid w:val="00005069"/>
    <w:rsid w:val="00011401"/>
    <w:rsid w:val="00014BB1"/>
    <w:rsid w:val="000170FD"/>
    <w:rsid w:val="000223B5"/>
    <w:rsid w:val="00023D6F"/>
    <w:rsid w:val="00024A13"/>
    <w:rsid w:val="00024A39"/>
    <w:rsid w:val="0002661C"/>
    <w:rsid w:val="00027A0E"/>
    <w:rsid w:val="000305F8"/>
    <w:rsid w:val="00034304"/>
    <w:rsid w:val="00036606"/>
    <w:rsid w:val="00037757"/>
    <w:rsid w:val="00041FC0"/>
    <w:rsid w:val="0004459B"/>
    <w:rsid w:val="00045F42"/>
    <w:rsid w:val="00047EB9"/>
    <w:rsid w:val="00050629"/>
    <w:rsid w:val="00051B99"/>
    <w:rsid w:val="00051D67"/>
    <w:rsid w:val="000548BB"/>
    <w:rsid w:val="00062A24"/>
    <w:rsid w:val="00064D39"/>
    <w:rsid w:val="00073F1E"/>
    <w:rsid w:val="00074734"/>
    <w:rsid w:val="00075819"/>
    <w:rsid w:val="0007591B"/>
    <w:rsid w:val="00076173"/>
    <w:rsid w:val="00080C59"/>
    <w:rsid w:val="000840E1"/>
    <w:rsid w:val="00085E93"/>
    <w:rsid w:val="00090544"/>
    <w:rsid w:val="00091586"/>
    <w:rsid w:val="000A04FE"/>
    <w:rsid w:val="000A0EA7"/>
    <w:rsid w:val="000A1541"/>
    <w:rsid w:val="000A29A4"/>
    <w:rsid w:val="000A2ED7"/>
    <w:rsid w:val="000A33CB"/>
    <w:rsid w:val="000A4DBB"/>
    <w:rsid w:val="000B0224"/>
    <w:rsid w:val="000B4355"/>
    <w:rsid w:val="000C2E63"/>
    <w:rsid w:val="000C3443"/>
    <w:rsid w:val="000C56CB"/>
    <w:rsid w:val="000C66DE"/>
    <w:rsid w:val="000D00D0"/>
    <w:rsid w:val="000D1534"/>
    <w:rsid w:val="000D303A"/>
    <w:rsid w:val="000D3116"/>
    <w:rsid w:val="000D5EEC"/>
    <w:rsid w:val="000E0358"/>
    <w:rsid w:val="000E0694"/>
    <w:rsid w:val="000E2FF6"/>
    <w:rsid w:val="000E39B8"/>
    <w:rsid w:val="000E3A9A"/>
    <w:rsid w:val="000E4F55"/>
    <w:rsid w:val="000F2414"/>
    <w:rsid w:val="000F2A34"/>
    <w:rsid w:val="000F2E60"/>
    <w:rsid w:val="000F336B"/>
    <w:rsid w:val="000F4D75"/>
    <w:rsid w:val="000F74B5"/>
    <w:rsid w:val="000F7648"/>
    <w:rsid w:val="001002B0"/>
    <w:rsid w:val="00101805"/>
    <w:rsid w:val="00104269"/>
    <w:rsid w:val="00107BA0"/>
    <w:rsid w:val="001108A4"/>
    <w:rsid w:val="001138FE"/>
    <w:rsid w:val="00113CFF"/>
    <w:rsid w:val="00114926"/>
    <w:rsid w:val="00121D75"/>
    <w:rsid w:val="00123AC4"/>
    <w:rsid w:val="001240C9"/>
    <w:rsid w:val="00125B2D"/>
    <w:rsid w:val="001268D1"/>
    <w:rsid w:val="001275FE"/>
    <w:rsid w:val="001279E5"/>
    <w:rsid w:val="00127AAE"/>
    <w:rsid w:val="0013248B"/>
    <w:rsid w:val="00132CEF"/>
    <w:rsid w:val="0013427E"/>
    <w:rsid w:val="00135204"/>
    <w:rsid w:val="0014012A"/>
    <w:rsid w:val="00141B4A"/>
    <w:rsid w:val="00141B88"/>
    <w:rsid w:val="00143069"/>
    <w:rsid w:val="0014331B"/>
    <w:rsid w:val="001437C9"/>
    <w:rsid w:val="00152A8B"/>
    <w:rsid w:val="00153920"/>
    <w:rsid w:val="00154A06"/>
    <w:rsid w:val="00162ADB"/>
    <w:rsid w:val="00164131"/>
    <w:rsid w:val="001643F3"/>
    <w:rsid w:val="00166BEB"/>
    <w:rsid w:val="001676D6"/>
    <w:rsid w:val="0017159E"/>
    <w:rsid w:val="00175059"/>
    <w:rsid w:val="00176BF5"/>
    <w:rsid w:val="00181FEE"/>
    <w:rsid w:val="00182031"/>
    <w:rsid w:val="0018438F"/>
    <w:rsid w:val="00186D99"/>
    <w:rsid w:val="0018725A"/>
    <w:rsid w:val="00190446"/>
    <w:rsid w:val="0019322A"/>
    <w:rsid w:val="001937E1"/>
    <w:rsid w:val="00193C30"/>
    <w:rsid w:val="001964DA"/>
    <w:rsid w:val="00197AAF"/>
    <w:rsid w:val="001A0352"/>
    <w:rsid w:val="001A0C6C"/>
    <w:rsid w:val="001A6FD2"/>
    <w:rsid w:val="001B36DE"/>
    <w:rsid w:val="001B5E3F"/>
    <w:rsid w:val="001B65C3"/>
    <w:rsid w:val="001B6C13"/>
    <w:rsid w:val="001C1075"/>
    <w:rsid w:val="001C1780"/>
    <w:rsid w:val="001C2675"/>
    <w:rsid w:val="001D29DD"/>
    <w:rsid w:val="001D38DD"/>
    <w:rsid w:val="001D513D"/>
    <w:rsid w:val="001E3420"/>
    <w:rsid w:val="001E40A8"/>
    <w:rsid w:val="001E41D8"/>
    <w:rsid w:val="001F2B70"/>
    <w:rsid w:val="001F4A5D"/>
    <w:rsid w:val="001F626B"/>
    <w:rsid w:val="00200C0A"/>
    <w:rsid w:val="0020105A"/>
    <w:rsid w:val="00201DE4"/>
    <w:rsid w:val="00202A40"/>
    <w:rsid w:val="00203F96"/>
    <w:rsid w:val="00206B16"/>
    <w:rsid w:val="00206C4B"/>
    <w:rsid w:val="00211962"/>
    <w:rsid w:val="0021310A"/>
    <w:rsid w:val="002146F2"/>
    <w:rsid w:val="002158B9"/>
    <w:rsid w:val="00217102"/>
    <w:rsid w:val="002203A5"/>
    <w:rsid w:val="00220F55"/>
    <w:rsid w:val="0022320D"/>
    <w:rsid w:val="002254DB"/>
    <w:rsid w:val="00231247"/>
    <w:rsid w:val="002320C5"/>
    <w:rsid w:val="0024088D"/>
    <w:rsid w:val="0024419F"/>
    <w:rsid w:val="00244642"/>
    <w:rsid w:val="002446B0"/>
    <w:rsid w:val="00245DC9"/>
    <w:rsid w:val="002469AF"/>
    <w:rsid w:val="002471ED"/>
    <w:rsid w:val="0024753E"/>
    <w:rsid w:val="002506BC"/>
    <w:rsid w:val="0025095C"/>
    <w:rsid w:val="00251A44"/>
    <w:rsid w:val="00252799"/>
    <w:rsid w:val="00253D7D"/>
    <w:rsid w:val="00253FC3"/>
    <w:rsid w:val="00261C28"/>
    <w:rsid w:val="00262A68"/>
    <w:rsid w:val="002674AB"/>
    <w:rsid w:val="00273040"/>
    <w:rsid w:val="00273A0B"/>
    <w:rsid w:val="00275AB6"/>
    <w:rsid w:val="00282A04"/>
    <w:rsid w:val="00285CE7"/>
    <w:rsid w:val="002863F0"/>
    <w:rsid w:val="002911FF"/>
    <w:rsid w:val="00291696"/>
    <w:rsid w:val="0029229F"/>
    <w:rsid w:val="002929F5"/>
    <w:rsid w:val="00293809"/>
    <w:rsid w:val="00294CC4"/>
    <w:rsid w:val="00294DD3"/>
    <w:rsid w:val="00294F59"/>
    <w:rsid w:val="00296A59"/>
    <w:rsid w:val="00296B57"/>
    <w:rsid w:val="002A07F0"/>
    <w:rsid w:val="002A41EC"/>
    <w:rsid w:val="002A59CE"/>
    <w:rsid w:val="002A65C4"/>
    <w:rsid w:val="002B2C8D"/>
    <w:rsid w:val="002B31CB"/>
    <w:rsid w:val="002B360D"/>
    <w:rsid w:val="002B40E2"/>
    <w:rsid w:val="002B47D7"/>
    <w:rsid w:val="002B767F"/>
    <w:rsid w:val="002B76F7"/>
    <w:rsid w:val="002B7B6E"/>
    <w:rsid w:val="002C21C4"/>
    <w:rsid w:val="002C25F0"/>
    <w:rsid w:val="002C2D4A"/>
    <w:rsid w:val="002C37AB"/>
    <w:rsid w:val="002C409B"/>
    <w:rsid w:val="002C43ED"/>
    <w:rsid w:val="002C54E3"/>
    <w:rsid w:val="002C7476"/>
    <w:rsid w:val="002D2AFE"/>
    <w:rsid w:val="002D2BF6"/>
    <w:rsid w:val="002D57FA"/>
    <w:rsid w:val="002D5F5F"/>
    <w:rsid w:val="002D6466"/>
    <w:rsid w:val="002E120B"/>
    <w:rsid w:val="002E1D87"/>
    <w:rsid w:val="002F0374"/>
    <w:rsid w:val="002F563C"/>
    <w:rsid w:val="00300D67"/>
    <w:rsid w:val="00300E28"/>
    <w:rsid w:val="003036D2"/>
    <w:rsid w:val="003045D9"/>
    <w:rsid w:val="00304CEB"/>
    <w:rsid w:val="003060B5"/>
    <w:rsid w:val="00311EF1"/>
    <w:rsid w:val="00312805"/>
    <w:rsid w:val="00312ACF"/>
    <w:rsid w:val="00313DD3"/>
    <w:rsid w:val="00321555"/>
    <w:rsid w:val="0032169C"/>
    <w:rsid w:val="003221E3"/>
    <w:rsid w:val="003223E1"/>
    <w:rsid w:val="00324F9C"/>
    <w:rsid w:val="00326CD1"/>
    <w:rsid w:val="0033019F"/>
    <w:rsid w:val="00332191"/>
    <w:rsid w:val="003409CD"/>
    <w:rsid w:val="00340C2B"/>
    <w:rsid w:val="003414D5"/>
    <w:rsid w:val="00343344"/>
    <w:rsid w:val="00344FED"/>
    <w:rsid w:val="003543B6"/>
    <w:rsid w:val="00356146"/>
    <w:rsid w:val="003628F2"/>
    <w:rsid w:val="003638E8"/>
    <w:rsid w:val="00363D2B"/>
    <w:rsid w:val="00363F73"/>
    <w:rsid w:val="00364E2D"/>
    <w:rsid w:val="003654D7"/>
    <w:rsid w:val="0037189B"/>
    <w:rsid w:val="00372F55"/>
    <w:rsid w:val="003733E9"/>
    <w:rsid w:val="00374885"/>
    <w:rsid w:val="00380097"/>
    <w:rsid w:val="0038186A"/>
    <w:rsid w:val="00382FE2"/>
    <w:rsid w:val="003836C4"/>
    <w:rsid w:val="003838FD"/>
    <w:rsid w:val="003840EC"/>
    <w:rsid w:val="00387631"/>
    <w:rsid w:val="00387F81"/>
    <w:rsid w:val="00391EAA"/>
    <w:rsid w:val="003923E3"/>
    <w:rsid w:val="00393A23"/>
    <w:rsid w:val="003A0334"/>
    <w:rsid w:val="003A0A27"/>
    <w:rsid w:val="003A11F6"/>
    <w:rsid w:val="003A307B"/>
    <w:rsid w:val="003B1E31"/>
    <w:rsid w:val="003B4100"/>
    <w:rsid w:val="003B76EF"/>
    <w:rsid w:val="003C1617"/>
    <w:rsid w:val="003C4BB9"/>
    <w:rsid w:val="003C6518"/>
    <w:rsid w:val="003D0D58"/>
    <w:rsid w:val="003D4F7A"/>
    <w:rsid w:val="003E509A"/>
    <w:rsid w:val="003E6450"/>
    <w:rsid w:val="003E6555"/>
    <w:rsid w:val="003E75D9"/>
    <w:rsid w:val="003F2935"/>
    <w:rsid w:val="003F3D33"/>
    <w:rsid w:val="003F4676"/>
    <w:rsid w:val="003F51DF"/>
    <w:rsid w:val="003F5AA4"/>
    <w:rsid w:val="00403E78"/>
    <w:rsid w:val="0040467F"/>
    <w:rsid w:val="00411FB2"/>
    <w:rsid w:val="00412460"/>
    <w:rsid w:val="00414716"/>
    <w:rsid w:val="004151B5"/>
    <w:rsid w:val="00417382"/>
    <w:rsid w:val="004179CF"/>
    <w:rsid w:val="0042252E"/>
    <w:rsid w:val="00423E74"/>
    <w:rsid w:val="00424759"/>
    <w:rsid w:val="004248C8"/>
    <w:rsid w:val="004260BD"/>
    <w:rsid w:val="00426DB9"/>
    <w:rsid w:val="00434490"/>
    <w:rsid w:val="0043534A"/>
    <w:rsid w:val="0043555F"/>
    <w:rsid w:val="004357B4"/>
    <w:rsid w:val="00436766"/>
    <w:rsid w:val="004401D5"/>
    <w:rsid w:val="004406AB"/>
    <w:rsid w:val="00442981"/>
    <w:rsid w:val="004456FA"/>
    <w:rsid w:val="00446DB1"/>
    <w:rsid w:val="00447378"/>
    <w:rsid w:val="004478E1"/>
    <w:rsid w:val="00451F44"/>
    <w:rsid w:val="00452C78"/>
    <w:rsid w:val="0045361D"/>
    <w:rsid w:val="00457D35"/>
    <w:rsid w:val="004636D8"/>
    <w:rsid w:val="00463BE7"/>
    <w:rsid w:val="00464EB8"/>
    <w:rsid w:val="0046573F"/>
    <w:rsid w:val="004673B7"/>
    <w:rsid w:val="00471E93"/>
    <w:rsid w:val="00471F40"/>
    <w:rsid w:val="004759E4"/>
    <w:rsid w:val="00475F3E"/>
    <w:rsid w:val="004769C7"/>
    <w:rsid w:val="0048006B"/>
    <w:rsid w:val="004807B3"/>
    <w:rsid w:val="004877D5"/>
    <w:rsid w:val="004931EE"/>
    <w:rsid w:val="00493AD3"/>
    <w:rsid w:val="0049738B"/>
    <w:rsid w:val="004A033A"/>
    <w:rsid w:val="004A03CA"/>
    <w:rsid w:val="004A0B09"/>
    <w:rsid w:val="004A1112"/>
    <w:rsid w:val="004A36F4"/>
    <w:rsid w:val="004A3B0D"/>
    <w:rsid w:val="004A420E"/>
    <w:rsid w:val="004A72E1"/>
    <w:rsid w:val="004B0AB6"/>
    <w:rsid w:val="004B1E5F"/>
    <w:rsid w:val="004C2835"/>
    <w:rsid w:val="004C5DE3"/>
    <w:rsid w:val="004C7BAB"/>
    <w:rsid w:val="004D3927"/>
    <w:rsid w:val="004D62D7"/>
    <w:rsid w:val="004E05E8"/>
    <w:rsid w:val="004E16BE"/>
    <w:rsid w:val="004E16E1"/>
    <w:rsid w:val="004E275D"/>
    <w:rsid w:val="004E46D7"/>
    <w:rsid w:val="004E54DC"/>
    <w:rsid w:val="004E63E3"/>
    <w:rsid w:val="004E64E9"/>
    <w:rsid w:val="004F20DF"/>
    <w:rsid w:val="004F458D"/>
    <w:rsid w:val="004F5481"/>
    <w:rsid w:val="004F5B3B"/>
    <w:rsid w:val="004F73C5"/>
    <w:rsid w:val="004F76E6"/>
    <w:rsid w:val="00504A0A"/>
    <w:rsid w:val="00506D4C"/>
    <w:rsid w:val="005074C4"/>
    <w:rsid w:val="005104CB"/>
    <w:rsid w:val="00513F19"/>
    <w:rsid w:val="005143D4"/>
    <w:rsid w:val="0051493D"/>
    <w:rsid w:val="00515B4F"/>
    <w:rsid w:val="00516525"/>
    <w:rsid w:val="00517F47"/>
    <w:rsid w:val="00520A2E"/>
    <w:rsid w:val="005215C6"/>
    <w:rsid w:val="00525BCD"/>
    <w:rsid w:val="005263CA"/>
    <w:rsid w:val="005364BC"/>
    <w:rsid w:val="00540C64"/>
    <w:rsid w:val="00540F0B"/>
    <w:rsid w:val="00542135"/>
    <w:rsid w:val="005447B5"/>
    <w:rsid w:val="00546405"/>
    <w:rsid w:val="00546AC1"/>
    <w:rsid w:val="00552D5B"/>
    <w:rsid w:val="0055373A"/>
    <w:rsid w:val="00556985"/>
    <w:rsid w:val="0055749B"/>
    <w:rsid w:val="00561E0E"/>
    <w:rsid w:val="00563CA6"/>
    <w:rsid w:val="00572E4A"/>
    <w:rsid w:val="00573027"/>
    <w:rsid w:val="00577736"/>
    <w:rsid w:val="0058071A"/>
    <w:rsid w:val="00582EFB"/>
    <w:rsid w:val="00583E8A"/>
    <w:rsid w:val="00584914"/>
    <w:rsid w:val="00584B8C"/>
    <w:rsid w:val="00584CFD"/>
    <w:rsid w:val="005901BF"/>
    <w:rsid w:val="00592932"/>
    <w:rsid w:val="005930A1"/>
    <w:rsid w:val="00594146"/>
    <w:rsid w:val="00596561"/>
    <w:rsid w:val="00596D10"/>
    <w:rsid w:val="005A21E1"/>
    <w:rsid w:val="005A2426"/>
    <w:rsid w:val="005A2AEF"/>
    <w:rsid w:val="005A398A"/>
    <w:rsid w:val="005A4E02"/>
    <w:rsid w:val="005A60F2"/>
    <w:rsid w:val="005B005D"/>
    <w:rsid w:val="005B0570"/>
    <w:rsid w:val="005B061A"/>
    <w:rsid w:val="005B0F9B"/>
    <w:rsid w:val="005B1A09"/>
    <w:rsid w:val="005B22D2"/>
    <w:rsid w:val="005C1526"/>
    <w:rsid w:val="005C25CA"/>
    <w:rsid w:val="005C4DB0"/>
    <w:rsid w:val="005C4E81"/>
    <w:rsid w:val="005C62D1"/>
    <w:rsid w:val="005D4761"/>
    <w:rsid w:val="005D72D8"/>
    <w:rsid w:val="005D7562"/>
    <w:rsid w:val="005D7724"/>
    <w:rsid w:val="005D781D"/>
    <w:rsid w:val="005D7F51"/>
    <w:rsid w:val="005E0164"/>
    <w:rsid w:val="005E375F"/>
    <w:rsid w:val="005E37BA"/>
    <w:rsid w:val="005E6A82"/>
    <w:rsid w:val="005E753F"/>
    <w:rsid w:val="005F07D4"/>
    <w:rsid w:val="005F2945"/>
    <w:rsid w:val="005F6F9A"/>
    <w:rsid w:val="005F718B"/>
    <w:rsid w:val="006003D5"/>
    <w:rsid w:val="0060050C"/>
    <w:rsid w:val="00600812"/>
    <w:rsid w:val="006026CC"/>
    <w:rsid w:val="00602833"/>
    <w:rsid w:val="00602B8D"/>
    <w:rsid w:val="00604B59"/>
    <w:rsid w:val="00604C27"/>
    <w:rsid w:val="006066DC"/>
    <w:rsid w:val="006076AF"/>
    <w:rsid w:val="006132BC"/>
    <w:rsid w:val="00617986"/>
    <w:rsid w:val="00622045"/>
    <w:rsid w:val="00623A78"/>
    <w:rsid w:val="00623B77"/>
    <w:rsid w:val="00623C3D"/>
    <w:rsid w:val="006269B0"/>
    <w:rsid w:val="00630289"/>
    <w:rsid w:val="00631954"/>
    <w:rsid w:val="006343F8"/>
    <w:rsid w:val="0063443F"/>
    <w:rsid w:val="006402B5"/>
    <w:rsid w:val="00640C9B"/>
    <w:rsid w:val="006467EC"/>
    <w:rsid w:val="00647EB2"/>
    <w:rsid w:val="00654BD1"/>
    <w:rsid w:val="0065637C"/>
    <w:rsid w:val="00662DF4"/>
    <w:rsid w:val="00663778"/>
    <w:rsid w:val="006638DB"/>
    <w:rsid w:val="00665504"/>
    <w:rsid w:val="0067110C"/>
    <w:rsid w:val="00673165"/>
    <w:rsid w:val="00673665"/>
    <w:rsid w:val="00675EA1"/>
    <w:rsid w:val="006808D3"/>
    <w:rsid w:val="006809D3"/>
    <w:rsid w:val="00680B8E"/>
    <w:rsid w:val="0068134A"/>
    <w:rsid w:val="00682897"/>
    <w:rsid w:val="00687257"/>
    <w:rsid w:val="00687C17"/>
    <w:rsid w:val="00690383"/>
    <w:rsid w:val="00691D9C"/>
    <w:rsid w:val="00693435"/>
    <w:rsid w:val="00693891"/>
    <w:rsid w:val="0069403C"/>
    <w:rsid w:val="00696575"/>
    <w:rsid w:val="00696941"/>
    <w:rsid w:val="006A0E73"/>
    <w:rsid w:val="006A1736"/>
    <w:rsid w:val="006A7561"/>
    <w:rsid w:val="006B45A7"/>
    <w:rsid w:val="006B71A0"/>
    <w:rsid w:val="006C17A6"/>
    <w:rsid w:val="006C6615"/>
    <w:rsid w:val="006C74C4"/>
    <w:rsid w:val="006C764E"/>
    <w:rsid w:val="006D22A8"/>
    <w:rsid w:val="006D2BC9"/>
    <w:rsid w:val="006E0DAC"/>
    <w:rsid w:val="006E1CE0"/>
    <w:rsid w:val="006E35E4"/>
    <w:rsid w:val="006F06AE"/>
    <w:rsid w:val="007025C4"/>
    <w:rsid w:val="0070375C"/>
    <w:rsid w:val="0070449D"/>
    <w:rsid w:val="0070734B"/>
    <w:rsid w:val="007073E2"/>
    <w:rsid w:val="0070789B"/>
    <w:rsid w:val="0071011D"/>
    <w:rsid w:val="007119BB"/>
    <w:rsid w:val="00717D67"/>
    <w:rsid w:val="0072146F"/>
    <w:rsid w:val="00722397"/>
    <w:rsid w:val="00723BFF"/>
    <w:rsid w:val="0072589D"/>
    <w:rsid w:val="00725FFE"/>
    <w:rsid w:val="00732E66"/>
    <w:rsid w:val="00733BE3"/>
    <w:rsid w:val="00734D61"/>
    <w:rsid w:val="00735BAC"/>
    <w:rsid w:val="00740F46"/>
    <w:rsid w:val="007415B0"/>
    <w:rsid w:val="00743B2B"/>
    <w:rsid w:val="00745FE3"/>
    <w:rsid w:val="00747530"/>
    <w:rsid w:val="00747C75"/>
    <w:rsid w:val="0075123B"/>
    <w:rsid w:val="00754BC6"/>
    <w:rsid w:val="007558F3"/>
    <w:rsid w:val="00765B78"/>
    <w:rsid w:val="00767AF1"/>
    <w:rsid w:val="00771AD8"/>
    <w:rsid w:val="00774A7A"/>
    <w:rsid w:val="00781A41"/>
    <w:rsid w:val="00785181"/>
    <w:rsid w:val="00785907"/>
    <w:rsid w:val="00786B14"/>
    <w:rsid w:val="00786DA5"/>
    <w:rsid w:val="00792980"/>
    <w:rsid w:val="00795A86"/>
    <w:rsid w:val="007A19E1"/>
    <w:rsid w:val="007A1C76"/>
    <w:rsid w:val="007A1EF7"/>
    <w:rsid w:val="007A21FC"/>
    <w:rsid w:val="007A26A5"/>
    <w:rsid w:val="007A26E5"/>
    <w:rsid w:val="007A44F6"/>
    <w:rsid w:val="007A731D"/>
    <w:rsid w:val="007B06CF"/>
    <w:rsid w:val="007B08B2"/>
    <w:rsid w:val="007B0D66"/>
    <w:rsid w:val="007B11B0"/>
    <w:rsid w:val="007B3736"/>
    <w:rsid w:val="007B398F"/>
    <w:rsid w:val="007B7645"/>
    <w:rsid w:val="007B7912"/>
    <w:rsid w:val="007C1B84"/>
    <w:rsid w:val="007C3B80"/>
    <w:rsid w:val="007C49E9"/>
    <w:rsid w:val="007C52A5"/>
    <w:rsid w:val="007C64BC"/>
    <w:rsid w:val="007C71CA"/>
    <w:rsid w:val="007D0E33"/>
    <w:rsid w:val="007D250C"/>
    <w:rsid w:val="007D392A"/>
    <w:rsid w:val="007D3B2A"/>
    <w:rsid w:val="007E3BA6"/>
    <w:rsid w:val="007E4631"/>
    <w:rsid w:val="007F00F0"/>
    <w:rsid w:val="007F080C"/>
    <w:rsid w:val="007F3D2A"/>
    <w:rsid w:val="007F407F"/>
    <w:rsid w:val="00800C7E"/>
    <w:rsid w:val="00801697"/>
    <w:rsid w:val="0080262D"/>
    <w:rsid w:val="00805783"/>
    <w:rsid w:val="00806579"/>
    <w:rsid w:val="008116C3"/>
    <w:rsid w:val="00811EF4"/>
    <w:rsid w:val="00814F53"/>
    <w:rsid w:val="00815345"/>
    <w:rsid w:val="0081638C"/>
    <w:rsid w:val="00816D8C"/>
    <w:rsid w:val="008204CA"/>
    <w:rsid w:val="00820FE3"/>
    <w:rsid w:val="0082108A"/>
    <w:rsid w:val="0082470E"/>
    <w:rsid w:val="00830D29"/>
    <w:rsid w:val="008310D2"/>
    <w:rsid w:val="00833C8C"/>
    <w:rsid w:val="00836D58"/>
    <w:rsid w:val="0084049A"/>
    <w:rsid w:val="00843D6F"/>
    <w:rsid w:val="0084520A"/>
    <w:rsid w:val="0084637F"/>
    <w:rsid w:val="00855A84"/>
    <w:rsid w:val="008631A1"/>
    <w:rsid w:val="00863B3E"/>
    <w:rsid w:val="0086759E"/>
    <w:rsid w:val="008724EC"/>
    <w:rsid w:val="00874E16"/>
    <w:rsid w:val="00876314"/>
    <w:rsid w:val="00883D9C"/>
    <w:rsid w:val="0088611C"/>
    <w:rsid w:val="00886C40"/>
    <w:rsid w:val="008870F5"/>
    <w:rsid w:val="008876D1"/>
    <w:rsid w:val="00893C65"/>
    <w:rsid w:val="008979C1"/>
    <w:rsid w:val="008A0241"/>
    <w:rsid w:val="008A2144"/>
    <w:rsid w:val="008A539A"/>
    <w:rsid w:val="008A5D79"/>
    <w:rsid w:val="008A5DFF"/>
    <w:rsid w:val="008A6B82"/>
    <w:rsid w:val="008A7688"/>
    <w:rsid w:val="008B1342"/>
    <w:rsid w:val="008B5075"/>
    <w:rsid w:val="008B5106"/>
    <w:rsid w:val="008B5E9F"/>
    <w:rsid w:val="008B610A"/>
    <w:rsid w:val="008B7A79"/>
    <w:rsid w:val="008C307A"/>
    <w:rsid w:val="008C3293"/>
    <w:rsid w:val="008C36C7"/>
    <w:rsid w:val="008C5736"/>
    <w:rsid w:val="008C6CBA"/>
    <w:rsid w:val="008D4640"/>
    <w:rsid w:val="008E00FF"/>
    <w:rsid w:val="008E04BC"/>
    <w:rsid w:val="008E4DB0"/>
    <w:rsid w:val="008E6D10"/>
    <w:rsid w:val="008E6EFC"/>
    <w:rsid w:val="008E720B"/>
    <w:rsid w:val="008F2E77"/>
    <w:rsid w:val="008F44C8"/>
    <w:rsid w:val="008F690F"/>
    <w:rsid w:val="008F79AB"/>
    <w:rsid w:val="00907680"/>
    <w:rsid w:val="00910B74"/>
    <w:rsid w:val="00915BA3"/>
    <w:rsid w:val="00916DA1"/>
    <w:rsid w:val="00920780"/>
    <w:rsid w:val="00925C89"/>
    <w:rsid w:val="00926A15"/>
    <w:rsid w:val="00932E3C"/>
    <w:rsid w:val="0093386A"/>
    <w:rsid w:val="009378C3"/>
    <w:rsid w:val="00941B16"/>
    <w:rsid w:val="00943107"/>
    <w:rsid w:val="009440D5"/>
    <w:rsid w:val="00946C73"/>
    <w:rsid w:val="00946E99"/>
    <w:rsid w:val="00946EE9"/>
    <w:rsid w:val="009511AC"/>
    <w:rsid w:val="0095456D"/>
    <w:rsid w:val="00955A20"/>
    <w:rsid w:val="00955B00"/>
    <w:rsid w:val="00955E05"/>
    <w:rsid w:val="00957A9D"/>
    <w:rsid w:val="009610FE"/>
    <w:rsid w:val="009615C8"/>
    <w:rsid w:val="00966845"/>
    <w:rsid w:val="00970B68"/>
    <w:rsid w:val="0097148D"/>
    <w:rsid w:val="009749A5"/>
    <w:rsid w:val="00974B17"/>
    <w:rsid w:val="00974E9E"/>
    <w:rsid w:val="009767E0"/>
    <w:rsid w:val="009773ED"/>
    <w:rsid w:val="00977723"/>
    <w:rsid w:val="009818C8"/>
    <w:rsid w:val="00982842"/>
    <w:rsid w:val="00990080"/>
    <w:rsid w:val="0099181C"/>
    <w:rsid w:val="00991AAD"/>
    <w:rsid w:val="00991D94"/>
    <w:rsid w:val="009924C3"/>
    <w:rsid w:val="00993662"/>
    <w:rsid w:val="0099565E"/>
    <w:rsid w:val="009A00EB"/>
    <w:rsid w:val="009A1781"/>
    <w:rsid w:val="009A31CD"/>
    <w:rsid w:val="009A40F9"/>
    <w:rsid w:val="009A64C4"/>
    <w:rsid w:val="009A77EB"/>
    <w:rsid w:val="009A7D36"/>
    <w:rsid w:val="009A7FC4"/>
    <w:rsid w:val="009B0210"/>
    <w:rsid w:val="009B6B16"/>
    <w:rsid w:val="009C0820"/>
    <w:rsid w:val="009C1527"/>
    <w:rsid w:val="009C4233"/>
    <w:rsid w:val="009D1E2F"/>
    <w:rsid w:val="009D290B"/>
    <w:rsid w:val="009D5C22"/>
    <w:rsid w:val="009D5D65"/>
    <w:rsid w:val="009D60F7"/>
    <w:rsid w:val="009D7704"/>
    <w:rsid w:val="009E4A05"/>
    <w:rsid w:val="009E61C2"/>
    <w:rsid w:val="009E76F4"/>
    <w:rsid w:val="009F3B88"/>
    <w:rsid w:val="00A0575C"/>
    <w:rsid w:val="00A05C12"/>
    <w:rsid w:val="00A12911"/>
    <w:rsid w:val="00A14C00"/>
    <w:rsid w:val="00A1649B"/>
    <w:rsid w:val="00A16C44"/>
    <w:rsid w:val="00A16F99"/>
    <w:rsid w:val="00A17813"/>
    <w:rsid w:val="00A178FF"/>
    <w:rsid w:val="00A20B56"/>
    <w:rsid w:val="00A23C4C"/>
    <w:rsid w:val="00A247E4"/>
    <w:rsid w:val="00A24A21"/>
    <w:rsid w:val="00A26D6C"/>
    <w:rsid w:val="00A33817"/>
    <w:rsid w:val="00A351B9"/>
    <w:rsid w:val="00A37AC7"/>
    <w:rsid w:val="00A4163F"/>
    <w:rsid w:val="00A41B96"/>
    <w:rsid w:val="00A4383B"/>
    <w:rsid w:val="00A43A56"/>
    <w:rsid w:val="00A43DBF"/>
    <w:rsid w:val="00A508EB"/>
    <w:rsid w:val="00A54CE8"/>
    <w:rsid w:val="00A579F0"/>
    <w:rsid w:val="00A62940"/>
    <w:rsid w:val="00A6411B"/>
    <w:rsid w:val="00A65D91"/>
    <w:rsid w:val="00A667EE"/>
    <w:rsid w:val="00A71071"/>
    <w:rsid w:val="00A710C1"/>
    <w:rsid w:val="00A723B5"/>
    <w:rsid w:val="00A731B6"/>
    <w:rsid w:val="00A7441D"/>
    <w:rsid w:val="00A745AF"/>
    <w:rsid w:val="00A75C18"/>
    <w:rsid w:val="00A76721"/>
    <w:rsid w:val="00A77F09"/>
    <w:rsid w:val="00A817D5"/>
    <w:rsid w:val="00A820B0"/>
    <w:rsid w:val="00A84430"/>
    <w:rsid w:val="00A86B15"/>
    <w:rsid w:val="00A90606"/>
    <w:rsid w:val="00A90D52"/>
    <w:rsid w:val="00A90DA3"/>
    <w:rsid w:val="00A90DE7"/>
    <w:rsid w:val="00A92709"/>
    <w:rsid w:val="00A97201"/>
    <w:rsid w:val="00AA295F"/>
    <w:rsid w:val="00AA2CEC"/>
    <w:rsid w:val="00AA382D"/>
    <w:rsid w:val="00AA45F3"/>
    <w:rsid w:val="00AA49B9"/>
    <w:rsid w:val="00AA4FAA"/>
    <w:rsid w:val="00AB5D26"/>
    <w:rsid w:val="00AB603F"/>
    <w:rsid w:val="00AB6860"/>
    <w:rsid w:val="00AB7C50"/>
    <w:rsid w:val="00AB7D7F"/>
    <w:rsid w:val="00AC100F"/>
    <w:rsid w:val="00AC483F"/>
    <w:rsid w:val="00AC5533"/>
    <w:rsid w:val="00AC5913"/>
    <w:rsid w:val="00AC67D5"/>
    <w:rsid w:val="00AC6D15"/>
    <w:rsid w:val="00AD04DF"/>
    <w:rsid w:val="00AD13D2"/>
    <w:rsid w:val="00AD5B02"/>
    <w:rsid w:val="00AD69B1"/>
    <w:rsid w:val="00AD7A06"/>
    <w:rsid w:val="00AD7BBC"/>
    <w:rsid w:val="00AE051F"/>
    <w:rsid w:val="00AE0FC4"/>
    <w:rsid w:val="00AE5309"/>
    <w:rsid w:val="00AE5453"/>
    <w:rsid w:val="00AE5A2B"/>
    <w:rsid w:val="00AE65F9"/>
    <w:rsid w:val="00AF0C25"/>
    <w:rsid w:val="00AF2AA1"/>
    <w:rsid w:val="00B00224"/>
    <w:rsid w:val="00B01429"/>
    <w:rsid w:val="00B0251C"/>
    <w:rsid w:val="00B03BDB"/>
    <w:rsid w:val="00B05C6A"/>
    <w:rsid w:val="00B06458"/>
    <w:rsid w:val="00B070D3"/>
    <w:rsid w:val="00B0789E"/>
    <w:rsid w:val="00B13E70"/>
    <w:rsid w:val="00B163EF"/>
    <w:rsid w:val="00B208F3"/>
    <w:rsid w:val="00B220EA"/>
    <w:rsid w:val="00B23861"/>
    <w:rsid w:val="00B24814"/>
    <w:rsid w:val="00B25727"/>
    <w:rsid w:val="00B263B8"/>
    <w:rsid w:val="00B26972"/>
    <w:rsid w:val="00B3087F"/>
    <w:rsid w:val="00B33764"/>
    <w:rsid w:val="00B3410B"/>
    <w:rsid w:val="00B362DF"/>
    <w:rsid w:val="00B37F25"/>
    <w:rsid w:val="00B40163"/>
    <w:rsid w:val="00B43C9C"/>
    <w:rsid w:val="00B47A06"/>
    <w:rsid w:val="00B548AF"/>
    <w:rsid w:val="00B54F47"/>
    <w:rsid w:val="00B54F5F"/>
    <w:rsid w:val="00B5672C"/>
    <w:rsid w:val="00B60228"/>
    <w:rsid w:val="00B61BCC"/>
    <w:rsid w:val="00B62046"/>
    <w:rsid w:val="00B6289C"/>
    <w:rsid w:val="00B64483"/>
    <w:rsid w:val="00B65D22"/>
    <w:rsid w:val="00B6702F"/>
    <w:rsid w:val="00B705F3"/>
    <w:rsid w:val="00B7119B"/>
    <w:rsid w:val="00B730C2"/>
    <w:rsid w:val="00B73295"/>
    <w:rsid w:val="00B74CF5"/>
    <w:rsid w:val="00B76A2B"/>
    <w:rsid w:val="00B77E7E"/>
    <w:rsid w:val="00B80E4B"/>
    <w:rsid w:val="00B829A4"/>
    <w:rsid w:val="00B830AC"/>
    <w:rsid w:val="00B853D8"/>
    <w:rsid w:val="00B875C0"/>
    <w:rsid w:val="00BA5ED1"/>
    <w:rsid w:val="00BB08B2"/>
    <w:rsid w:val="00BB0DC8"/>
    <w:rsid w:val="00BB5763"/>
    <w:rsid w:val="00BB6926"/>
    <w:rsid w:val="00BB6F04"/>
    <w:rsid w:val="00BB7887"/>
    <w:rsid w:val="00BC3134"/>
    <w:rsid w:val="00BD1A2D"/>
    <w:rsid w:val="00BD1C67"/>
    <w:rsid w:val="00BD2BDD"/>
    <w:rsid w:val="00BD2F01"/>
    <w:rsid w:val="00BD3EFA"/>
    <w:rsid w:val="00BD4009"/>
    <w:rsid w:val="00BD4230"/>
    <w:rsid w:val="00BE2302"/>
    <w:rsid w:val="00BE2D52"/>
    <w:rsid w:val="00BE5500"/>
    <w:rsid w:val="00BE7D76"/>
    <w:rsid w:val="00BF0EFE"/>
    <w:rsid w:val="00BF36AB"/>
    <w:rsid w:val="00BF63BA"/>
    <w:rsid w:val="00C00FA8"/>
    <w:rsid w:val="00C031CF"/>
    <w:rsid w:val="00C05FA6"/>
    <w:rsid w:val="00C114BA"/>
    <w:rsid w:val="00C13A3A"/>
    <w:rsid w:val="00C1527E"/>
    <w:rsid w:val="00C2214C"/>
    <w:rsid w:val="00C23EEF"/>
    <w:rsid w:val="00C3020A"/>
    <w:rsid w:val="00C36699"/>
    <w:rsid w:val="00C41FA6"/>
    <w:rsid w:val="00C44284"/>
    <w:rsid w:val="00C44602"/>
    <w:rsid w:val="00C44DEB"/>
    <w:rsid w:val="00C4686B"/>
    <w:rsid w:val="00C47E79"/>
    <w:rsid w:val="00C53B33"/>
    <w:rsid w:val="00C576AA"/>
    <w:rsid w:val="00C57EDB"/>
    <w:rsid w:val="00C63E47"/>
    <w:rsid w:val="00C64C02"/>
    <w:rsid w:val="00C6597F"/>
    <w:rsid w:val="00C67099"/>
    <w:rsid w:val="00C67195"/>
    <w:rsid w:val="00C708C9"/>
    <w:rsid w:val="00C72F20"/>
    <w:rsid w:val="00C73E8C"/>
    <w:rsid w:val="00C745C7"/>
    <w:rsid w:val="00C74A9B"/>
    <w:rsid w:val="00C82A0A"/>
    <w:rsid w:val="00C83E18"/>
    <w:rsid w:val="00C85F0A"/>
    <w:rsid w:val="00C87691"/>
    <w:rsid w:val="00C907F7"/>
    <w:rsid w:val="00C9108F"/>
    <w:rsid w:val="00C912C6"/>
    <w:rsid w:val="00C916EC"/>
    <w:rsid w:val="00C9411C"/>
    <w:rsid w:val="00C961D4"/>
    <w:rsid w:val="00CA067F"/>
    <w:rsid w:val="00CA21E9"/>
    <w:rsid w:val="00CA3483"/>
    <w:rsid w:val="00CA552F"/>
    <w:rsid w:val="00CB0FB5"/>
    <w:rsid w:val="00CB2E00"/>
    <w:rsid w:val="00CB56FA"/>
    <w:rsid w:val="00CB5AD2"/>
    <w:rsid w:val="00CB6116"/>
    <w:rsid w:val="00CC0803"/>
    <w:rsid w:val="00CC0B66"/>
    <w:rsid w:val="00CC10F4"/>
    <w:rsid w:val="00CC167C"/>
    <w:rsid w:val="00CC1BDA"/>
    <w:rsid w:val="00CC2BEB"/>
    <w:rsid w:val="00CC4098"/>
    <w:rsid w:val="00CC4458"/>
    <w:rsid w:val="00CC7A3A"/>
    <w:rsid w:val="00CD2730"/>
    <w:rsid w:val="00CD3434"/>
    <w:rsid w:val="00CD374F"/>
    <w:rsid w:val="00CD52A7"/>
    <w:rsid w:val="00CE1FCD"/>
    <w:rsid w:val="00CE21D9"/>
    <w:rsid w:val="00CE39F8"/>
    <w:rsid w:val="00CE4640"/>
    <w:rsid w:val="00CE57E9"/>
    <w:rsid w:val="00CF0B1B"/>
    <w:rsid w:val="00CF294D"/>
    <w:rsid w:val="00CF2F8D"/>
    <w:rsid w:val="00CF4321"/>
    <w:rsid w:val="00CF4C59"/>
    <w:rsid w:val="00CF5035"/>
    <w:rsid w:val="00CF674E"/>
    <w:rsid w:val="00CF6FD3"/>
    <w:rsid w:val="00CF70C9"/>
    <w:rsid w:val="00D01247"/>
    <w:rsid w:val="00D03541"/>
    <w:rsid w:val="00D05FA6"/>
    <w:rsid w:val="00D07626"/>
    <w:rsid w:val="00D16799"/>
    <w:rsid w:val="00D16997"/>
    <w:rsid w:val="00D173BA"/>
    <w:rsid w:val="00D21969"/>
    <w:rsid w:val="00D2280D"/>
    <w:rsid w:val="00D24C9E"/>
    <w:rsid w:val="00D27E61"/>
    <w:rsid w:val="00D30D0B"/>
    <w:rsid w:val="00D31D92"/>
    <w:rsid w:val="00D35569"/>
    <w:rsid w:val="00D41E75"/>
    <w:rsid w:val="00D43DE2"/>
    <w:rsid w:val="00D56E5D"/>
    <w:rsid w:val="00D64CF8"/>
    <w:rsid w:val="00D664A4"/>
    <w:rsid w:val="00D66E69"/>
    <w:rsid w:val="00D70FF5"/>
    <w:rsid w:val="00D71A49"/>
    <w:rsid w:val="00D7463A"/>
    <w:rsid w:val="00D7508E"/>
    <w:rsid w:val="00D75944"/>
    <w:rsid w:val="00D812B1"/>
    <w:rsid w:val="00D86C54"/>
    <w:rsid w:val="00D870E2"/>
    <w:rsid w:val="00D9013E"/>
    <w:rsid w:val="00D94678"/>
    <w:rsid w:val="00D96C65"/>
    <w:rsid w:val="00D97CD5"/>
    <w:rsid w:val="00DA5383"/>
    <w:rsid w:val="00DA6F59"/>
    <w:rsid w:val="00DA7135"/>
    <w:rsid w:val="00DB30B7"/>
    <w:rsid w:val="00DB6307"/>
    <w:rsid w:val="00DC5E91"/>
    <w:rsid w:val="00DD4F92"/>
    <w:rsid w:val="00DD61B5"/>
    <w:rsid w:val="00DD6E66"/>
    <w:rsid w:val="00DE029C"/>
    <w:rsid w:val="00DF0150"/>
    <w:rsid w:val="00DF0ED3"/>
    <w:rsid w:val="00DF24E3"/>
    <w:rsid w:val="00DF39F1"/>
    <w:rsid w:val="00DF5EDF"/>
    <w:rsid w:val="00DF69FC"/>
    <w:rsid w:val="00DF6F0D"/>
    <w:rsid w:val="00DF770F"/>
    <w:rsid w:val="00E00B62"/>
    <w:rsid w:val="00E0101A"/>
    <w:rsid w:val="00E01860"/>
    <w:rsid w:val="00E057D0"/>
    <w:rsid w:val="00E11FBD"/>
    <w:rsid w:val="00E1361B"/>
    <w:rsid w:val="00E14654"/>
    <w:rsid w:val="00E146B9"/>
    <w:rsid w:val="00E1587C"/>
    <w:rsid w:val="00E15E87"/>
    <w:rsid w:val="00E20B9B"/>
    <w:rsid w:val="00E21200"/>
    <w:rsid w:val="00E22116"/>
    <w:rsid w:val="00E25863"/>
    <w:rsid w:val="00E26E76"/>
    <w:rsid w:val="00E30CEC"/>
    <w:rsid w:val="00E30D46"/>
    <w:rsid w:val="00E3191E"/>
    <w:rsid w:val="00E33CFA"/>
    <w:rsid w:val="00E351F5"/>
    <w:rsid w:val="00E3744E"/>
    <w:rsid w:val="00E37CE8"/>
    <w:rsid w:val="00E44EA7"/>
    <w:rsid w:val="00E506F9"/>
    <w:rsid w:val="00E51C28"/>
    <w:rsid w:val="00E51DB1"/>
    <w:rsid w:val="00E52E96"/>
    <w:rsid w:val="00E536A7"/>
    <w:rsid w:val="00E538EE"/>
    <w:rsid w:val="00E54657"/>
    <w:rsid w:val="00E55B1C"/>
    <w:rsid w:val="00E55D1F"/>
    <w:rsid w:val="00E578F2"/>
    <w:rsid w:val="00E62374"/>
    <w:rsid w:val="00E6767B"/>
    <w:rsid w:val="00E7061D"/>
    <w:rsid w:val="00E7260A"/>
    <w:rsid w:val="00E74E49"/>
    <w:rsid w:val="00E76B92"/>
    <w:rsid w:val="00E81D4A"/>
    <w:rsid w:val="00E820B3"/>
    <w:rsid w:val="00E84662"/>
    <w:rsid w:val="00E8478D"/>
    <w:rsid w:val="00E85988"/>
    <w:rsid w:val="00E8661D"/>
    <w:rsid w:val="00E9170E"/>
    <w:rsid w:val="00E92379"/>
    <w:rsid w:val="00E95B5A"/>
    <w:rsid w:val="00E96DF2"/>
    <w:rsid w:val="00EA20FF"/>
    <w:rsid w:val="00EA2AFD"/>
    <w:rsid w:val="00EA3B38"/>
    <w:rsid w:val="00EA3DCA"/>
    <w:rsid w:val="00EA4BF0"/>
    <w:rsid w:val="00EA56E2"/>
    <w:rsid w:val="00EB01B8"/>
    <w:rsid w:val="00EB1D93"/>
    <w:rsid w:val="00EB27AB"/>
    <w:rsid w:val="00EB3B26"/>
    <w:rsid w:val="00EB526B"/>
    <w:rsid w:val="00EB6B71"/>
    <w:rsid w:val="00EC007B"/>
    <w:rsid w:val="00EC51B2"/>
    <w:rsid w:val="00EC72C2"/>
    <w:rsid w:val="00EC7F08"/>
    <w:rsid w:val="00ED00F1"/>
    <w:rsid w:val="00ED17C1"/>
    <w:rsid w:val="00ED1F26"/>
    <w:rsid w:val="00ED2287"/>
    <w:rsid w:val="00ED6EF0"/>
    <w:rsid w:val="00EE1955"/>
    <w:rsid w:val="00EE3776"/>
    <w:rsid w:val="00EE5F1C"/>
    <w:rsid w:val="00EE6026"/>
    <w:rsid w:val="00EE6259"/>
    <w:rsid w:val="00EE68AC"/>
    <w:rsid w:val="00EE7B0B"/>
    <w:rsid w:val="00EF063E"/>
    <w:rsid w:val="00EF5EE3"/>
    <w:rsid w:val="00EF7D52"/>
    <w:rsid w:val="00F01868"/>
    <w:rsid w:val="00F0224A"/>
    <w:rsid w:val="00F03A77"/>
    <w:rsid w:val="00F10725"/>
    <w:rsid w:val="00F115DB"/>
    <w:rsid w:val="00F12BC6"/>
    <w:rsid w:val="00F172B0"/>
    <w:rsid w:val="00F17862"/>
    <w:rsid w:val="00F17B15"/>
    <w:rsid w:val="00F22BD2"/>
    <w:rsid w:val="00F22C73"/>
    <w:rsid w:val="00F2330C"/>
    <w:rsid w:val="00F305C6"/>
    <w:rsid w:val="00F329E1"/>
    <w:rsid w:val="00F32A57"/>
    <w:rsid w:val="00F35AF2"/>
    <w:rsid w:val="00F37569"/>
    <w:rsid w:val="00F4028B"/>
    <w:rsid w:val="00F41C6C"/>
    <w:rsid w:val="00F4273A"/>
    <w:rsid w:val="00F455A0"/>
    <w:rsid w:val="00F46978"/>
    <w:rsid w:val="00F46DF3"/>
    <w:rsid w:val="00F500DD"/>
    <w:rsid w:val="00F51DF8"/>
    <w:rsid w:val="00F53310"/>
    <w:rsid w:val="00F53A0F"/>
    <w:rsid w:val="00F5789F"/>
    <w:rsid w:val="00F62B1D"/>
    <w:rsid w:val="00F63CF1"/>
    <w:rsid w:val="00F63EED"/>
    <w:rsid w:val="00F6408C"/>
    <w:rsid w:val="00F7170C"/>
    <w:rsid w:val="00F763A4"/>
    <w:rsid w:val="00F76B4B"/>
    <w:rsid w:val="00F771B3"/>
    <w:rsid w:val="00F77E7E"/>
    <w:rsid w:val="00F80EBA"/>
    <w:rsid w:val="00F839C7"/>
    <w:rsid w:val="00F91733"/>
    <w:rsid w:val="00F922CE"/>
    <w:rsid w:val="00F925A0"/>
    <w:rsid w:val="00F94737"/>
    <w:rsid w:val="00F96CAC"/>
    <w:rsid w:val="00F970D5"/>
    <w:rsid w:val="00F97284"/>
    <w:rsid w:val="00FA2A02"/>
    <w:rsid w:val="00FA5AA6"/>
    <w:rsid w:val="00FB3211"/>
    <w:rsid w:val="00FB3420"/>
    <w:rsid w:val="00FB490B"/>
    <w:rsid w:val="00FB4927"/>
    <w:rsid w:val="00FB51F2"/>
    <w:rsid w:val="00FB5301"/>
    <w:rsid w:val="00FB567B"/>
    <w:rsid w:val="00FB57A3"/>
    <w:rsid w:val="00FB5F9F"/>
    <w:rsid w:val="00FD5EC4"/>
    <w:rsid w:val="00FE1A69"/>
    <w:rsid w:val="00FE1EA2"/>
    <w:rsid w:val="00FE2D91"/>
    <w:rsid w:val="00FE2EEB"/>
    <w:rsid w:val="00FE64A8"/>
    <w:rsid w:val="00FE7BA5"/>
    <w:rsid w:val="00FF4013"/>
    <w:rsid w:val="00FF4D09"/>
    <w:rsid w:val="00FF63E1"/>
    <w:rsid w:val="00FF6E8B"/>
    <w:rsid w:val="00FF6F64"/>
    <w:rsid w:val="00FF7CE7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F5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870F5"/>
    <w:pPr>
      <w:keepNext/>
      <w:keepLines/>
      <w:spacing w:before="480" w:after="0" w:line="240" w:lineRule="auto"/>
      <w:ind w:left="357" w:hanging="357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70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70F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870F5"/>
    <w:rPr>
      <w:rFonts w:ascii="Cambria" w:eastAsia="Times New Roman" w:hAnsi="Cambria" w:cs="Times New Roman"/>
      <w:b/>
      <w:bCs/>
      <w:i/>
      <w:iCs/>
      <w:sz w:val="28"/>
      <w:szCs w:val="28"/>
      <w:lang w:val="es-AR" w:eastAsia="en-US"/>
    </w:rPr>
  </w:style>
  <w:style w:type="paragraph" w:styleId="Sinespaciado">
    <w:name w:val="No Spacing"/>
    <w:link w:val="SinespaciadoCar"/>
    <w:uiPriority w:val="1"/>
    <w:qFormat/>
    <w:rsid w:val="008870F5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70F5"/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870F5"/>
    <w:pPr>
      <w:spacing w:after="0" w:line="240" w:lineRule="auto"/>
      <w:ind w:left="720" w:hanging="357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FE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14F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14F5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14F5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14F5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814F5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">
    <w:name w:val="Medium Shading 2"/>
    <w:basedOn w:val="Tablanormal"/>
    <w:uiPriority w:val="64"/>
    <w:rsid w:val="00814F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814F5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141B8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141B8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141B8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141B8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141B8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12</cp:revision>
  <dcterms:created xsi:type="dcterms:W3CDTF">2014-06-11T14:55:00Z</dcterms:created>
  <dcterms:modified xsi:type="dcterms:W3CDTF">2014-06-12T16:56:00Z</dcterms:modified>
</cp:coreProperties>
</file>