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4FE" w:rsidRDefault="004C54FE"/>
    <w:p w:rsidR="004C54FE" w:rsidRDefault="00F06B2D">
      <w:pPr>
        <w:rPr>
          <w:sz w:val="36"/>
          <w:szCs w:val="36"/>
        </w:rPr>
      </w:pPr>
      <w:r w:rsidRPr="00F06B2D">
        <w:rPr>
          <w:b/>
          <w:sz w:val="72"/>
          <w:szCs w:val="72"/>
        </w:rPr>
        <w:t>Ganadería:</w:t>
      </w:r>
      <w:r>
        <w:t xml:space="preserve"> </w:t>
      </w:r>
      <w:r w:rsidRPr="00F06B2D">
        <w:rPr>
          <w:sz w:val="36"/>
          <w:szCs w:val="36"/>
        </w:rPr>
        <w:t>Aumento del precio de la carne.</w:t>
      </w:r>
    </w:p>
    <w:p w:rsidR="00F06B2D" w:rsidRDefault="00F06B2D">
      <w:pPr>
        <w:rPr>
          <w:i/>
          <w:sz w:val="28"/>
          <w:szCs w:val="28"/>
        </w:rPr>
      </w:pPr>
      <w:r w:rsidRPr="00F06B2D">
        <w:rPr>
          <w:i/>
          <w:sz w:val="28"/>
          <w:szCs w:val="28"/>
        </w:rPr>
        <w:t>“El aumento del precio de la hacienda en pie, es simplemente una actualización del valor inflacionario de estos últimos 3 años</w:t>
      </w:r>
      <w:r w:rsidR="00AB34F1">
        <w:rPr>
          <w:i/>
          <w:sz w:val="28"/>
          <w:szCs w:val="28"/>
        </w:rPr>
        <w:t xml:space="preserve"> que el productor vio</w:t>
      </w:r>
      <w:r w:rsidR="00F515A0">
        <w:rPr>
          <w:i/>
          <w:sz w:val="28"/>
          <w:szCs w:val="28"/>
        </w:rPr>
        <w:t xml:space="preserve"> reflejado en el incremento</w:t>
      </w:r>
      <w:r w:rsidRPr="00F06B2D">
        <w:rPr>
          <w:i/>
          <w:sz w:val="28"/>
          <w:szCs w:val="28"/>
        </w:rPr>
        <w:t xml:space="preserve"> de sus costos”</w:t>
      </w:r>
    </w:p>
    <w:p w:rsidR="00E417EB" w:rsidRPr="00E417EB" w:rsidRDefault="00E417EB" w:rsidP="00E417EB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Pérdida de competitividad del sector ganadero</w:t>
      </w:r>
    </w:p>
    <w:p w:rsidR="004C54FE" w:rsidRDefault="006A0C46">
      <w:r>
        <w:t>E</w:t>
      </w:r>
      <w:r w:rsidR="004C54FE">
        <w:t>l pre</w:t>
      </w:r>
      <w:r>
        <w:t>cio de la hacienda en pie</w:t>
      </w:r>
      <w:r w:rsidR="00A636F3">
        <w:t xml:space="preserve"> tuvo un estancamiento pronunciado durante los últimos 3 años, </w:t>
      </w:r>
      <w:r w:rsidR="007741B1">
        <w:t>mientras los cost</w:t>
      </w:r>
      <w:r w:rsidR="00AB34F1">
        <w:t>os productivos fueron incrementándose</w:t>
      </w:r>
      <w:r w:rsidR="007741B1">
        <w:t xml:space="preserve"> al ritmo de la inflación</w:t>
      </w:r>
      <w:r w:rsidR="00A636F3">
        <w:t xml:space="preserve">. Si tomamos el incremento de los costos productivos entre de Marzo de 2012 –mes que se empieza a difundir el estudio de los modelos productivo regionales por parte de la Secretaría de ganadería de la Nación- y Diciembre de 2013, y lo comparamos con el aumento del novillo en pie, observaremos una pérdida de </w:t>
      </w:r>
      <w:r w:rsidR="00AB34F1">
        <w:t>competitividad importante para el</w:t>
      </w:r>
      <w:r w:rsidR="00A636F3">
        <w:t xml:space="preserve"> sector.</w:t>
      </w:r>
    </w:p>
    <w:p w:rsidR="00485E61" w:rsidRDefault="00A636F3">
      <w:r>
        <w:t>Cuadro 1</w:t>
      </w:r>
      <w:r w:rsidR="00F06B2D">
        <w:t>: Aumento en el costo del sector de invernada</w:t>
      </w:r>
    </w:p>
    <w:tbl>
      <w:tblPr>
        <w:tblStyle w:val="Tablaconcuadrcula"/>
        <w:tblW w:w="0" w:type="auto"/>
        <w:tblLook w:val="04A0"/>
      </w:tblPr>
      <w:tblGrid>
        <w:gridCol w:w="5353"/>
        <w:gridCol w:w="1134"/>
        <w:gridCol w:w="2157"/>
      </w:tblGrid>
      <w:tr w:rsidR="007741B1" w:rsidTr="007741B1">
        <w:tc>
          <w:tcPr>
            <w:tcW w:w="5353" w:type="dxa"/>
          </w:tcPr>
          <w:p w:rsidR="007741B1" w:rsidRDefault="007741B1">
            <w:r>
              <w:t>Costo por hectárea en el modelo de invernada pampeana de Marzo 2012   ($/ha)</w:t>
            </w:r>
          </w:p>
        </w:tc>
        <w:tc>
          <w:tcPr>
            <w:tcW w:w="1134" w:type="dxa"/>
          </w:tcPr>
          <w:p w:rsidR="007741B1" w:rsidRDefault="007741B1">
            <w:r>
              <w:t>426</w:t>
            </w:r>
          </w:p>
        </w:tc>
        <w:tc>
          <w:tcPr>
            <w:tcW w:w="2157" w:type="dxa"/>
            <w:vMerge w:val="restart"/>
          </w:tcPr>
          <w:p w:rsidR="007741B1" w:rsidRDefault="007741B1"/>
          <w:p w:rsidR="007741B1" w:rsidRDefault="007741B1" w:rsidP="007741B1">
            <w:r>
              <w:t xml:space="preserve">              75 %</w:t>
            </w:r>
          </w:p>
        </w:tc>
      </w:tr>
      <w:tr w:rsidR="007741B1" w:rsidTr="007741B1">
        <w:tc>
          <w:tcPr>
            <w:tcW w:w="5353" w:type="dxa"/>
          </w:tcPr>
          <w:p w:rsidR="007741B1" w:rsidRDefault="007741B1">
            <w:r>
              <w:t>Costo por hectárea en el modelo de invernada pampeana de Dic</w:t>
            </w:r>
            <w:r w:rsidR="00262EC9">
              <w:t xml:space="preserve">iembre </w:t>
            </w:r>
            <w:r>
              <w:t xml:space="preserve"> 2013   ($/ha)</w:t>
            </w:r>
          </w:p>
        </w:tc>
        <w:tc>
          <w:tcPr>
            <w:tcW w:w="1134" w:type="dxa"/>
          </w:tcPr>
          <w:p w:rsidR="007741B1" w:rsidRDefault="007741B1">
            <w:r>
              <w:t>747</w:t>
            </w:r>
          </w:p>
        </w:tc>
        <w:tc>
          <w:tcPr>
            <w:tcW w:w="2157" w:type="dxa"/>
            <w:vMerge/>
          </w:tcPr>
          <w:p w:rsidR="007741B1" w:rsidRDefault="007741B1"/>
        </w:tc>
      </w:tr>
      <w:tr w:rsidR="007741B1" w:rsidTr="007741B1">
        <w:tc>
          <w:tcPr>
            <w:tcW w:w="5353" w:type="dxa"/>
          </w:tcPr>
          <w:p w:rsidR="007741B1" w:rsidRDefault="007741B1">
            <w:r>
              <w:t>Valor del Novillo en pie promedio mes de Marzo de 2012 ($/Kg)</w:t>
            </w:r>
          </w:p>
        </w:tc>
        <w:tc>
          <w:tcPr>
            <w:tcW w:w="1134" w:type="dxa"/>
          </w:tcPr>
          <w:p w:rsidR="007741B1" w:rsidRDefault="007741B1">
            <w:r>
              <w:t>9,589</w:t>
            </w:r>
          </w:p>
        </w:tc>
        <w:tc>
          <w:tcPr>
            <w:tcW w:w="2157" w:type="dxa"/>
            <w:vMerge w:val="restart"/>
          </w:tcPr>
          <w:p w:rsidR="007741B1" w:rsidRDefault="007741B1"/>
          <w:p w:rsidR="007741B1" w:rsidRDefault="007741B1">
            <w:r>
              <w:t xml:space="preserve">             17 %</w:t>
            </w:r>
          </w:p>
        </w:tc>
      </w:tr>
      <w:tr w:rsidR="007741B1" w:rsidTr="007741B1">
        <w:tc>
          <w:tcPr>
            <w:tcW w:w="5353" w:type="dxa"/>
          </w:tcPr>
          <w:p w:rsidR="007741B1" w:rsidRDefault="007741B1">
            <w:r>
              <w:t>Valor del Novillo en pie promedio mes de Diciembre de 2013 ($/Kg)</w:t>
            </w:r>
          </w:p>
        </w:tc>
        <w:tc>
          <w:tcPr>
            <w:tcW w:w="1134" w:type="dxa"/>
          </w:tcPr>
          <w:p w:rsidR="007741B1" w:rsidRDefault="007741B1">
            <w:r>
              <w:t>11,267</w:t>
            </w:r>
          </w:p>
        </w:tc>
        <w:tc>
          <w:tcPr>
            <w:tcW w:w="2157" w:type="dxa"/>
            <w:vMerge/>
          </w:tcPr>
          <w:p w:rsidR="007741B1" w:rsidRDefault="007741B1"/>
        </w:tc>
      </w:tr>
      <w:tr w:rsidR="007741B1" w:rsidTr="008F2B87">
        <w:tc>
          <w:tcPr>
            <w:tcW w:w="6487" w:type="dxa"/>
            <w:gridSpan w:val="2"/>
          </w:tcPr>
          <w:p w:rsidR="007741B1" w:rsidRDefault="007741B1">
            <w:r>
              <w:t>Pérdida de competitividad</w:t>
            </w:r>
          </w:p>
        </w:tc>
        <w:tc>
          <w:tcPr>
            <w:tcW w:w="2157" w:type="dxa"/>
          </w:tcPr>
          <w:p w:rsidR="007741B1" w:rsidRDefault="007741B1">
            <w:r>
              <w:t xml:space="preserve">             58 %</w:t>
            </w:r>
          </w:p>
        </w:tc>
      </w:tr>
    </w:tbl>
    <w:p w:rsidR="007741B1" w:rsidRDefault="00F86480">
      <w:r>
        <w:t xml:space="preserve">Elaboración propia con datos de MINAGRI y Mercado de </w:t>
      </w:r>
      <w:proofErr w:type="spellStart"/>
      <w:r>
        <w:t>Liniers</w:t>
      </w:r>
      <w:proofErr w:type="spellEnd"/>
      <w:r>
        <w:t xml:space="preserve"> SA</w:t>
      </w:r>
    </w:p>
    <w:p w:rsidR="007741B1" w:rsidRDefault="007741B1">
      <w:r>
        <w:t xml:space="preserve">Este estancamiento del valor del precio del novillo en pie fue ocasionada por el Gobierno Nacional al restringir las exportaciones mediante la manipulación de </w:t>
      </w:r>
      <w:r w:rsidR="00E417EB">
        <w:t xml:space="preserve">los ROE rojos, con la famosa gran barata y el 15 % de retenciones en un contexto cambiario desfavorable.  </w:t>
      </w:r>
    </w:p>
    <w:p w:rsidR="00E417EB" w:rsidRDefault="00AB34F1">
      <w:r>
        <w:t>Esta pérdida de la competitividad</w:t>
      </w:r>
      <w:r w:rsidR="00E417EB">
        <w:t xml:space="preserve"> se vio reflejada en</w:t>
      </w:r>
      <w:r w:rsidR="005F440F">
        <w:t xml:space="preserve"> el aumento del ofrecimiento de animales para faena en el 2013 –se faen</w:t>
      </w:r>
      <w:r w:rsidR="00995086">
        <w:t>ó un 14,7 % más que en el 2012-</w:t>
      </w:r>
      <w:r w:rsidR="00E417EB">
        <w:t xml:space="preserve"> de la mano de una mayor particip</w:t>
      </w:r>
      <w:r>
        <w:t>ación de hembras y el envío a faena</w:t>
      </w:r>
      <w:r w:rsidR="00E417EB">
        <w:t xml:space="preserve"> de animales más livianos. E</w:t>
      </w:r>
      <w:r w:rsidR="005F440F">
        <w:t xml:space="preserve">l </w:t>
      </w:r>
      <w:r>
        <w:t>productor vendió</w:t>
      </w:r>
      <w:r w:rsidR="00E417EB">
        <w:t xml:space="preserve"> hacie</w:t>
      </w:r>
      <w:r>
        <w:t xml:space="preserve">nda con menos kilogramos, desprendiéndose anticipadamente de los animales, </w:t>
      </w:r>
      <w:r w:rsidR="00995086">
        <w:t>ocasionando</w:t>
      </w:r>
      <w:r>
        <w:t xml:space="preserve"> un faltante de “gordos”</w:t>
      </w:r>
      <w:r w:rsidR="00995086">
        <w:t xml:space="preserve"> para estos meses. </w:t>
      </w:r>
    </w:p>
    <w:p w:rsidR="005F440F" w:rsidRDefault="005F440F">
      <w:r>
        <w:t xml:space="preserve">Ya en </w:t>
      </w:r>
      <w:r w:rsidR="00E417EB">
        <w:t xml:space="preserve">el </w:t>
      </w:r>
      <w:r>
        <w:t>informe que dimos a conocer en Octubre de 2013 anunciábamos esta posibilidad de falta de animales terminados para Febrero y Marzo de 2014.</w:t>
      </w:r>
    </w:p>
    <w:p w:rsidR="00C02B9D" w:rsidRDefault="006A5D37">
      <w:r>
        <w:t>Esto trajo como consecuencia un aumento de</w:t>
      </w:r>
      <w:r w:rsidR="00F06B2D">
        <w:t>l precio de</w:t>
      </w:r>
      <w:r>
        <w:t xml:space="preserve"> la hacienda e</w:t>
      </w:r>
      <w:r w:rsidR="00F06B2D">
        <w:t>n pie, que es simplemente una actualización del valor inflacionario de estos últimos 3 años que el productor vio claramente reflejado en el aumento de sus costos.</w:t>
      </w:r>
    </w:p>
    <w:p w:rsidR="00E417EB" w:rsidRPr="00E417EB" w:rsidRDefault="00E417EB" w:rsidP="00E417EB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E417EB">
        <w:rPr>
          <w:sz w:val="28"/>
          <w:szCs w:val="28"/>
        </w:rPr>
        <w:lastRenderedPageBreak/>
        <w:t>Incremento de la hacienda en los últimos 3 años</w:t>
      </w:r>
    </w:p>
    <w:p w:rsidR="0071618D" w:rsidRDefault="00497217">
      <w:r>
        <w:t>Si hacemos la comparación del aumento d</w:t>
      </w:r>
      <w:r w:rsidR="006A5D37">
        <w:t>el pr</w:t>
      </w:r>
      <w:r>
        <w:t xml:space="preserve">ecio del novillo en pie </w:t>
      </w:r>
      <w:r w:rsidR="006A5D37">
        <w:t xml:space="preserve">con el índice </w:t>
      </w:r>
      <w:r>
        <w:t>del precio al consumidor interanual dado a conocer por el Congreso</w:t>
      </w:r>
      <w:r w:rsidR="00706AD7">
        <w:t>, observaremos que en el último año el aumento es un reacomodamiento del mismo al incremento del Precio del consumidor (Cuadro 2).</w:t>
      </w:r>
    </w:p>
    <w:p w:rsidR="00706AD7" w:rsidRDefault="00706AD7">
      <w:r>
        <w:t>Cuadro 2: Aumento del Precio del Novillo vs. Precio del novillo ajustado por la inflación</w:t>
      </w:r>
    </w:p>
    <w:tbl>
      <w:tblPr>
        <w:tblStyle w:val="Tablaconcuadrcula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8B20D7" w:rsidTr="008B20D7">
        <w:tc>
          <w:tcPr>
            <w:tcW w:w="1728" w:type="dxa"/>
          </w:tcPr>
          <w:p w:rsidR="008B20D7" w:rsidRDefault="008B20D7">
            <w:r>
              <w:t xml:space="preserve">Año </w:t>
            </w:r>
          </w:p>
        </w:tc>
        <w:tc>
          <w:tcPr>
            <w:tcW w:w="1729" w:type="dxa"/>
          </w:tcPr>
          <w:p w:rsidR="008B20D7" w:rsidRDefault="008B20D7">
            <w:r>
              <w:t>Pre</w:t>
            </w:r>
            <w:r w:rsidR="00262EC9">
              <w:t>cio promedio del Novillo</w:t>
            </w:r>
            <w:r w:rsidR="00706AD7">
              <w:t xml:space="preserve"> ($/Kg)</w:t>
            </w:r>
            <w:r w:rsidR="00262EC9">
              <w:t xml:space="preserve"> fin de Enero</w:t>
            </w:r>
          </w:p>
        </w:tc>
        <w:tc>
          <w:tcPr>
            <w:tcW w:w="1729" w:type="dxa"/>
          </w:tcPr>
          <w:p w:rsidR="008B20D7" w:rsidRDefault="008B20D7">
            <w:r>
              <w:t>Aumento anual</w:t>
            </w:r>
            <w:r w:rsidR="00706AD7">
              <w:t xml:space="preserve"> del precio del Novillo</w:t>
            </w:r>
          </w:p>
        </w:tc>
        <w:tc>
          <w:tcPr>
            <w:tcW w:w="1729" w:type="dxa"/>
          </w:tcPr>
          <w:p w:rsidR="008B20D7" w:rsidRDefault="00706AD7">
            <w:r>
              <w:t>Aumento del precio al consumidor índice Congreso</w:t>
            </w:r>
          </w:p>
        </w:tc>
        <w:tc>
          <w:tcPr>
            <w:tcW w:w="1729" w:type="dxa"/>
          </w:tcPr>
          <w:p w:rsidR="008B20D7" w:rsidRDefault="00706AD7">
            <w:r>
              <w:t xml:space="preserve">Valor del Novillo ajustado índice del Congreso </w:t>
            </w:r>
          </w:p>
          <w:p w:rsidR="00706AD7" w:rsidRDefault="00706AD7">
            <w:r>
              <w:t>($/Kg)</w:t>
            </w:r>
          </w:p>
        </w:tc>
      </w:tr>
      <w:tr w:rsidR="008B20D7" w:rsidTr="008B20D7">
        <w:tc>
          <w:tcPr>
            <w:tcW w:w="1728" w:type="dxa"/>
          </w:tcPr>
          <w:p w:rsidR="008B20D7" w:rsidRDefault="008B20D7">
            <w:r>
              <w:t>2011</w:t>
            </w:r>
          </w:p>
        </w:tc>
        <w:tc>
          <w:tcPr>
            <w:tcW w:w="1729" w:type="dxa"/>
          </w:tcPr>
          <w:p w:rsidR="008B20D7" w:rsidRDefault="008B20D7">
            <w:r>
              <w:t>7,862</w:t>
            </w:r>
          </w:p>
        </w:tc>
        <w:tc>
          <w:tcPr>
            <w:tcW w:w="1729" w:type="dxa"/>
          </w:tcPr>
          <w:p w:rsidR="008B20D7" w:rsidRDefault="008B20D7"/>
        </w:tc>
        <w:tc>
          <w:tcPr>
            <w:tcW w:w="1729" w:type="dxa"/>
          </w:tcPr>
          <w:p w:rsidR="008B20D7" w:rsidRDefault="008B20D7"/>
        </w:tc>
        <w:tc>
          <w:tcPr>
            <w:tcW w:w="1729" w:type="dxa"/>
          </w:tcPr>
          <w:p w:rsidR="008B20D7" w:rsidRDefault="00706AD7">
            <w:r>
              <w:t>7,862</w:t>
            </w:r>
          </w:p>
        </w:tc>
      </w:tr>
      <w:tr w:rsidR="008B20D7" w:rsidTr="008B20D7">
        <w:tc>
          <w:tcPr>
            <w:tcW w:w="1728" w:type="dxa"/>
          </w:tcPr>
          <w:p w:rsidR="008B20D7" w:rsidRDefault="008B20D7">
            <w:r>
              <w:t>2012</w:t>
            </w:r>
          </w:p>
        </w:tc>
        <w:tc>
          <w:tcPr>
            <w:tcW w:w="1729" w:type="dxa"/>
          </w:tcPr>
          <w:p w:rsidR="008B20D7" w:rsidRDefault="008B20D7">
            <w:r>
              <w:t>8,915</w:t>
            </w:r>
          </w:p>
        </w:tc>
        <w:tc>
          <w:tcPr>
            <w:tcW w:w="1729" w:type="dxa"/>
          </w:tcPr>
          <w:p w:rsidR="008B20D7" w:rsidRDefault="008B20D7">
            <w:r>
              <w:t>14 %</w:t>
            </w:r>
          </w:p>
        </w:tc>
        <w:tc>
          <w:tcPr>
            <w:tcW w:w="1729" w:type="dxa"/>
          </w:tcPr>
          <w:p w:rsidR="008B20D7" w:rsidRDefault="00706AD7">
            <w:r>
              <w:t>22,80 %</w:t>
            </w:r>
          </w:p>
        </w:tc>
        <w:tc>
          <w:tcPr>
            <w:tcW w:w="1729" w:type="dxa"/>
          </w:tcPr>
          <w:p w:rsidR="008B20D7" w:rsidRDefault="00706AD7">
            <w:r>
              <w:t>9,654</w:t>
            </w:r>
          </w:p>
        </w:tc>
      </w:tr>
      <w:tr w:rsidR="008B20D7" w:rsidTr="008B20D7">
        <w:tc>
          <w:tcPr>
            <w:tcW w:w="1728" w:type="dxa"/>
          </w:tcPr>
          <w:p w:rsidR="008B20D7" w:rsidRDefault="008B20D7">
            <w:r>
              <w:t>2013</w:t>
            </w:r>
          </w:p>
        </w:tc>
        <w:tc>
          <w:tcPr>
            <w:tcW w:w="1729" w:type="dxa"/>
          </w:tcPr>
          <w:p w:rsidR="008B20D7" w:rsidRDefault="008B20D7">
            <w:r>
              <w:t>9,660</w:t>
            </w:r>
          </w:p>
        </w:tc>
        <w:tc>
          <w:tcPr>
            <w:tcW w:w="1729" w:type="dxa"/>
          </w:tcPr>
          <w:p w:rsidR="008B20D7" w:rsidRDefault="008B20D7">
            <w:r>
              <w:t>9 %</w:t>
            </w:r>
          </w:p>
        </w:tc>
        <w:tc>
          <w:tcPr>
            <w:tcW w:w="1729" w:type="dxa"/>
          </w:tcPr>
          <w:p w:rsidR="008B20D7" w:rsidRDefault="00706AD7">
            <w:r>
              <w:t>25,60 %</w:t>
            </w:r>
          </w:p>
        </w:tc>
        <w:tc>
          <w:tcPr>
            <w:tcW w:w="1729" w:type="dxa"/>
          </w:tcPr>
          <w:p w:rsidR="008B20D7" w:rsidRDefault="00706AD7">
            <w:r>
              <w:t>12,12</w:t>
            </w:r>
          </w:p>
        </w:tc>
      </w:tr>
      <w:tr w:rsidR="008B20D7" w:rsidTr="008B20D7">
        <w:tc>
          <w:tcPr>
            <w:tcW w:w="1728" w:type="dxa"/>
          </w:tcPr>
          <w:p w:rsidR="008B20D7" w:rsidRDefault="008B20D7">
            <w:r>
              <w:t>2014</w:t>
            </w:r>
          </w:p>
        </w:tc>
        <w:tc>
          <w:tcPr>
            <w:tcW w:w="1729" w:type="dxa"/>
          </w:tcPr>
          <w:p w:rsidR="008B20D7" w:rsidRPr="00706AD7" w:rsidRDefault="008B20D7">
            <w:pPr>
              <w:rPr>
                <w:b/>
              </w:rPr>
            </w:pPr>
            <w:r w:rsidRPr="00706AD7">
              <w:rPr>
                <w:b/>
              </w:rPr>
              <w:t>13,917</w:t>
            </w:r>
          </w:p>
        </w:tc>
        <w:tc>
          <w:tcPr>
            <w:tcW w:w="1729" w:type="dxa"/>
          </w:tcPr>
          <w:p w:rsidR="008B20D7" w:rsidRDefault="008B20D7">
            <w:r>
              <w:t>43 %</w:t>
            </w:r>
          </w:p>
        </w:tc>
        <w:tc>
          <w:tcPr>
            <w:tcW w:w="1729" w:type="dxa"/>
          </w:tcPr>
          <w:p w:rsidR="008B20D7" w:rsidRDefault="00706AD7">
            <w:r>
              <w:t>28,38 %</w:t>
            </w:r>
          </w:p>
        </w:tc>
        <w:tc>
          <w:tcPr>
            <w:tcW w:w="1729" w:type="dxa"/>
          </w:tcPr>
          <w:p w:rsidR="008B20D7" w:rsidRPr="00706AD7" w:rsidRDefault="00706AD7">
            <w:pPr>
              <w:rPr>
                <w:b/>
              </w:rPr>
            </w:pPr>
            <w:r w:rsidRPr="00706AD7">
              <w:rPr>
                <w:b/>
              </w:rPr>
              <w:t>15,56</w:t>
            </w:r>
          </w:p>
        </w:tc>
      </w:tr>
    </w:tbl>
    <w:p w:rsidR="00F86480" w:rsidRDefault="00F86480" w:rsidP="00F86480">
      <w:r>
        <w:t xml:space="preserve">Elaboración propia con datos de Mercado de </w:t>
      </w:r>
      <w:proofErr w:type="spellStart"/>
      <w:r>
        <w:t>Liniers</w:t>
      </w:r>
      <w:proofErr w:type="spellEnd"/>
      <w:r>
        <w:t xml:space="preserve"> y IPC-Congreso</w:t>
      </w:r>
    </w:p>
    <w:p w:rsidR="00F140D9" w:rsidRDefault="00F140D9" w:rsidP="00F86480"/>
    <w:p w:rsidR="00F140D9" w:rsidRDefault="00F140D9" w:rsidP="00F86480">
      <w:r>
        <w:t>Gráfico 1</w:t>
      </w:r>
    </w:p>
    <w:p w:rsidR="00F515A0" w:rsidRDefault="00F515A0" w:rsidP="00F86480">
      <w:r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6512D" w:rsidRDefault="00D6512D"/>
    <w:p w:rsidR="00706AD7" w:rsidRPr="00F86480" w:rsidRDefault="00F86480" w:rsidP="00F86480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F86480">
        <w:rPr>
          <w:sz w:val="28"/>
          <w:szCs w:val="28"/>
        </w:rPr>
        <w:t xml:space="preserve">Conclusión: </w:t>
      </w:r>
    </w:p>
    <w:p w:rsidR="00AB34F1" w:rsidRDefault="00F86480" w:rsidP="00F86480">
      <w:r>
        <w:t>El valor del novillo en pie actual, refleja el seguim</w:t>
      </w:r>
      <w:r w:rsidR="00AB34F1">
        <w:t xml:space="preserve">iento inflacionario del país.  A pesar de </w:t>
      </w:r>
      <w:r w:rsidR="00B37493">
        <w:t>esto</w:t>
      </w:r>
      <w:r w:rsidR="00AB34F1">
        <w:t xml:space="preserve"> últimos aumentos podemos confirmar que aún el precio de la hacienda en pie esta con un </w:t>
      </w:r>
      <w:r w:rsidR="00B37493">
        <w:t>atraso</w:t>
      </w:r>
      <w:r w:rsidR="00AB34F1">
        <w:t xml:space="preserve"> en su valor.</w:t>
      </w:r>
    </w:p>
    <w:p w:rsidR="00F86480" w:rsidRDefault="00F86480" w:rsidP="00F86480">
      <w:r>
        <w:lastRenderedPageBreak/>
        <w:t xml:space="preserve"> </w:t>
      </w:r>
      <w:r w:rsidR="00B37493">
        <w:t>Si comparamos el valor</w:t>
      </w:r>
      <w:r>
        <w:t xml:space="preserve"> del novillo actual con el ajustado por inflación, el precio del mismo tiene aún, un atraso del 10,55 % (Cuadro 3).</w:t>
      </w:r>
    </w:p>
    <w:p w:rsidR="00706AD7" w:rsidRDefault="00F86480">
      <w:r>
        <w:t>Cuadro 3</w:t>
      </w:r>
      <w:r w:rsidR="00995086">
        <w:t>: Aumento del precio del novillo vs. Índice de precio del Congreso.</w:t>
      </w:r>
    </w:p>
    <w:tbl>
      <w:tblPr>
        <w:tblStyle w:val="Tablaconcuadrcula"/>
        <w:tblW w:w="8644" w:type="dxa"/>
        <w:tblLook w:val="04A0"/>
      </w:tblPr>
      <w:tblGrid>
        <w:gridCol w:w="2161"/>
        <w:gridCol w:w="2161"/>
        <w:gridCol w:w="2161"/>
        <w:gridCol w:w="2161"/>
      </w:tblGrid>
      <w:tr w:rsidR="00F86480" w:rsidTr="00F86480">
        <w:tc>
          <w:tcPr>
            <w:tcW w:w="2161" w:type="dxa"/>
          </w:tcPr>
          <w:p w:rsidR="00F86480" w:rsidRDefault="00F86480" w:rsidP="00CE19D5">
            <w:r>
              <w:t>Precio actual del Novillo</w:t>
            </w:r>
          </w:p>
          <w:p w:rsidR="00F86480" w:rsidRDefault="00F86480" w:rsidP="00CE19D5">
            <w:r>
              <w:t>($/Kg)</w:t>
            </w:r>
          </w:p>
        </w:tc>
        <w:tc>
          <w:tcPr>
            <w:tcW w:w="2161" w:type="dxa"/>
          </w:tcPr>
          <w:p w:rsidR="00F86480" w:rsidRDefault="00F86480" w:rsidP="00CE19D5">
            <w:r>
              <w:t xml:space="preserve">Precio del novillo ajustado por el índice del Congreso </w:t>
            </w:r>
          </w:p>
          <w:p w:rsidR="00F86480" w:rsidRDefault="00F86480" w:rsidP="00CE19D5">
            <w:r>
              <w:t>($/Kg)</w:t>
            </w:r>
          </w:p>
        </w:tc>
        <w:tc>
          <w:tcPr>
            <w:tcW w:w="2161" w:type="dxa"/>
          </w:tcPr>
          <w:p w:rsidR="00F86480" w:rsidRDefault="00F86480" w:rsidP="00CE19D5">
            <w:r>
              <w:t xml:space="preserve">Diferencia </w:t>
            </w:r>
          </w:p>
          <w:p w:rsidR="00F86480" w:rsidRDefault="00F86480" w:rsidP="00CE19D5">
            <w:r>
              <w:t>($/Kg)</w:t>
            </w:r>
          </w:p>
        </w:tc>
        <w:tc>
          <w:tcPr>
            <w:tcW w:w="2161" w:type="dxa"/>
          </w:tcPr>
          <w:p w:rsidR="00F86480" w:rsidRDefault="00F86480" w:rsidP="00CE19D5">
            <w:r>
              <w:t xml:space="preserve">Diferencia </w:t>
            </w:r>
          </w:p>
        </w:tc>
      </w:tr>
      <w:tr w:rsidR="00F86480" w:rsidTr="00F86480">
        <w:tc>
          <w:tcPr>
            <w:tcW w:w="2161" w:type="dxa"/>
          </w:tcPr>
          <w:p w:rsidR="00F86480" w:rsidRDefault="00F86480" w:rsidP="00CE19D5">
            <w:r>
              <w:t>13,917</w:t>
            </w:r>
          </w:p>
        </w:tc>
        <w:tc>
          <w:tcPr>
            <w:tcW w:w="2161" w:type="dxa"/>
          </w:tcPr>
          <w:p w:rsidR="00F86480" w:rsidRDefault="00F86480" w:rsidP="00CE19D5">
            <w:r>
              <w:t>15,56</w:t>
            </w:r>
          </w:p>
        </w:tc>
        <w:tc>
          <w:tcPr>
            <w:tcW w:w="2161" w:type="dxa"/>
          </w:tcPr>
          <w:p w:rsidR="00F86480" w:rsidRDefault="00F86480" w:rsidP="00CE19D5">
            <w:r>
              <w:t>- 1,643</w:t>
            </w:r>
          </w:p>
        </w:tc>
        <w:tc>
          <w:tcPr>
            <w:tcW w:w="2161" w:type="dxa"/>
          </w:tcPr>
          <w:p w:rsidR="00F86480" w:rsidRDefault="00F86480" w:rsidP="00CE19D5">
            <w:r>
              <w:t>- 10,55 %</w:t>
            </w:r>
          </w:p>
        </w:tc>
      </w:tr>
    </w:tbl>
    <w:p w:rsidR="00F86480" w:rsidRDefault="00F86480" w:rsidP="00F86480">
      <w:r>
        <w:t xml:space="preserve">Elaboración propia con datos de Mercado de </w:t>
      </w:r>
      <w:proofErr w:type="spellStart"/>
      <w:r>
        <w:t>Liniers</w:t>
      </w:r>
      <w:proofErr w:type="spellEnd"/>
      <w:r>
        <w:t xml:space="preserve"> y IPC-Congreso</w:t>
      </w:r>
    </w:p>
    <w:p w:rsidR="006A5D37" w:rsidRDefault="006A5D37"/>
    <w:p w:rsidR="006A5D37" w:rsidRDefault="006A5D37"/>
    <w:p w:rsidR="004C54FE" w:rsidRDefault="004C54FE"/>
    <w:p w:rsidR="004C54FE" w:rsidRDefault="004C54FE"/>
    <w:p w:rsidR="004C54FE" w:rsidRDefault="004C54FE"/>
    <w:sectPr w:rsidR="004C54FE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45ECA"/>
    <w:multiLevelType w:val="hybridMultilevel"/>
    <w:tmpl w:val="878EB1E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C54FE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3770"/>
    <w:rsid w:val="000A4DBB"/>
    <w:rsid w:val="000B0224"/>
    <w:rsid w:val="000B4355"/>
    <w:rsid w:val="000C2E63"/>
    <w:rsid w:val="000C3443"/>
    <w:rsid w:val="000C56CB"/>
    <w:rsid w:val="000C6240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2EC9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300F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50A9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1949"/>
    <w:rsid w:val="00485E61"/>
    <w:rsid w:val="004877D5"/>
    <w:rsid w:val="004931EE"/>
    <w:rsid w:val="00493AD3"/>
    <w:rsid w:val="00497217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4FE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440F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C46"/>
    <w:rsid w:val="006A0E73"/>
    <w:rsid w:val="006A1736"/>
    <w:rsid w:val="006A5D37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1EFA"/>
    <w:rsid w:val="007025C4"/>
    <w:rsid w:val="0070375C"/>
    <w:rsid w:val="0070449D"/>
    <w:rsid w:val="00706AD7"/>
    <w:rsid w:val="0070734B"/>
    <w:rsid w:val="007073E2"/>
    <w:rsid w:val="0070789B"/>
    <w:rsid w:val="0071011D"/>
    <w:rsid w:val="007119BB"/>
    <w:rsid w:val="0071618D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0B73"/>
    <w:rsid w:val="0075123B"/>
    <w:rsid w:val="00754BC6"/>
    <w:rsid w:val="007558F3"/>
    <w:rsid w:val="00765B78"/>
    <w:rsid w:val="00767AF1"/>
    <w:rsid w:val="00771AD8"/>
    <w:rsid w:val="007741B1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539A"/>
    <w:rsid w:val="008A5D79"/>
    <w:rsid w:val="008A5DFF"/>
    <w:rsid w:val="008A6B82"/>
    <w:rsid w:val="008A7688"/>
    <w:rsid w:val="008B1342"/>
    <w:rsid w:val="008B20D7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086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36F3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34F1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493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4968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2B9D"/>
    <w:rsid w:val="00C05FA6"/>
    <w:rsid w:val="00C114B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1A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512D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17EB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0B9F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06B2D"/>
    <w:rsid w:val="00F10725"/>
    <w:rsid w:val="00F115DB"/>
    <w:rsid w:val="00F12BC6"/>
    <w:rsid w:val="00F140D9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5A0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86480"/>
    <w:rsid w:val="00F91733"/>
    <w:rsid w:val="00F922CE"/>
    <w:rsid w:val="00F925A0"/>
    <w:rsid w:val="00F94737"/>
    <w:rsid w:val="00F96CAC"/>
    <w:rsid w:val="00F970D5"/>
    <w:rsid w:val="00F97284"/>
    <w:rsid w:val="00F97348"/>
    <w:rsid w:val="00FA2A02"/>
    <w:rsid w:val="00FA5AA6"/>
    <w:rsid w:val="00FB2D95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5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4F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80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417EB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D6512D"/>
    <w:rPr>
      <w:b/>
      <w:bCs/>
    </w:rPr>
  </w:style>
  <w:style w:type="paragraph" w:styleId="NormalWeb">
    <w:name w:val="Normal (Web)"/>
    <w:basedOn w:val="Normal"/>
    <w:uiPriority w:val="99"/>
    <w:unhideWhenUsed/>
    <w:rsid w:val="00D65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s-ES"/>
  <c:chart>
    <c:plotArea>
      <c:layout/>
      <c:lineChart>
        <c:grouping val="standard"/>
        <c:ser>
          <c:idx val="0"/>
          <c:order val="0"/>
          <c:tx>
            <c:strRef>
              <c:f>Hoja1!$B$1</c:f>
              <c:strCache>
                <c:ptCount val="1"/>
                <c:pt idx="0">
                  <c:v>Precio promedio del Novillo ($/Kg</c:v>
                </c:pt>
              </c:strCache>
            </c:strRef>
          </c:tx>
          <c:marker>
            <c:symbol val="none"/>
          </c:marker>
          <c:cat>
            <c:numRef>
              <c:f>Hoja1!$A$2:$A$5</c:f>
              <c:numCache>
                <c:formatCode>mmm\-yy</c:formatCode>
                <c:ptCount val="4"/>
                <c:pt idx="0">
                  <c:v>40544</c:v>
                </c:pt>
                <c:pt idx="1">
                  <c:v>40909</c:v>
                </c:pt>
                <c:pt idx="2">
                  <c:v>41275</c:v>
                </c:pt>
                <c:pt idx="3">
                  <c:v>41640</c:v>
                </c:pt>
              </c:numCache>
            </c:numRef>
          </c:cat>
          <c:val>
            <c:numRef>
              <c:f>Hoja1!$B$2:$B$5</c:f>
              <c:numCache>
                <c:formatCode>General</c:formatCode>
                <c:ptCount val="4"/>
                <c:pt idx="0">
                  <c:v>7.8619999999999992</c:v>
                </c:pt>
                <c:pt idx="1">
                  <c:v>8.9150000000000009</c:v>
                </c:pt>
                <c:pt idx="2">
                  <c:v>9.66</c:v>
                </c:pt>
                <c:pt idx="3">
                  <c:v>13.917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Valor del Novillo ajustado índice del Congreso 
($/Kg)
</c:v>
                </c:pt>
              </c:strCache>
            </c:strRef>
          </c:tx>
          <c:marker>
            <c:symbol val="none"/>
          </c:marker>
          <c:cat>
            <c:numRef>
              <c:f>Hoja1!$A$2:$A$5</c:f>
              <c:numCache>
                <c:formatCode>mmm\-yy</c:formatCode>
                <c:ptCount val="4"/>
                <c:pt idx="0">
                  <c:v>40544</c:v>
                </c:pt>
                <c:pt idx="1">
                  <c:v>40909</c:v>
                </c:pt>
                <c:pt idx="2">
                  <c:v>41275</c:v>
                </c:pt>
                <c:pt idx="3">
                  <c:v>41640</c:v>
                </c:pt>
              </c:numCache>
            </c:numRef>
          </c:cat>
          <c:val>
            <c:numRef>
              <c:f>Hoja1!$C$2:$C$5</c:f>
              <c:numCache>
                <c:formatCode>General</c:formatCode>
                <c:ptCount val="4"/>
                <c:pt idx="0">
                  <c:v>7.8619999999999992</c:v>
                </c:pt>
                <c:pt idx="1">
                  <c:v>9.6540000000000035</c:v>
                </c:pt>
                <c:pt idx="2">
                  <c:v>12.12</c:v>
                </c:pt>
                <c:pt idx="3">
                  <c:v>15.56</c:v>
                </c:pt>
              </c:numCache>
            </c:numRef>
          </c:val>
        </c:ser>
        <c:marker val="1"/>
        <c:axId val="37124736"/>
        <c:axId val="37994880"/>
      </c:lineChart>
      <c:dateAx>
        <c:axId val="37124736"/>
        <c:scaling>
          <c:orientation val="minMax"/>
        </c:scaling>
        <c:axPos val="b"/>
        <c:numFmt formatCode="mmm\-yy" sourceLinked="1"/>
        <c:tickLblPos val="nextTo"/>
        <c:crossAx val="37994880"/>
        <c:crosses val="autoZero"/>
        <c:auto val="1"/>
        <c:lblOffset val="100"/>
      </c:dateAx>
      <c:valAx>
        <c:axId val="37994880"/>
        <c:scaling>
          <c:orientation val="minMax"/>
        </c:scaling>
        <c:axPos val="l"/>
        <c:majorGridlines/>
        <c:numFmt formatCode="General" sourceLinked="1"/>
        <c:tickLblPos val="nextTo"/>
        <c:crossAx val="371247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590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12</cp:revision>
  <dcterms:created xsi:type="dcterms:W3CDTF">2014-02-07T14:19:00Z</dcterms:created>
  <dcterms:modified xsi:type="dcterms:W3CDTF">2014-02-10T11:52:00Z</dcterms:modified>
</cp:coreProperties>
</file>