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B14" w:rsidRDefault="00223816" w:rsidP="00BC6B14">
      <w:pPr>
        <w:rPr>
          <w:sz w:val="52"/>
          <w:szCs w:val="52"/>
        </w:rPr>
      </w:pPr>
      <w:r w:rsidRPr="00223816">
        <w:rPr>
          <w:b/>
          <w:sz w:val="72"/>
          <w:szCs w:val="72"/>
        </w:rPr>
        <w:t>Lechería:</w:t>
      </w:r>
      <w:r>
        <w:t xml:space="preserve"> </w:t>
      </w:r>
      <w:r w:rsidRPr="00223816">
        <w:rPr>
          <w:sz w:val="52"/>
          <w:szCs w:val="52"/>
        </w:rPr>
        <w:t>Sobreoferta de leche en el mercado interno.</w:t>
      </w:r>
    </w:p>
    <w:p w:rsidR="00BC6B14" w:rsidRDefault="00BC6B14" w:rsidP="00BC6B14">
      <w:pPr>
        <w:rPr>
          <w:sz w:val="52"/>
          <w:szCs w:val="52"/>
        </w:rPr>
      </w:pPr>
    </w:p>
    <w:p w:rsidR="00223816" w:rsidRDefault="006615EB" w:rsidP="00223816">
      <w:pPr>
        <w:rPr>
          <w:i/>
          <w:sz w:val="40"/>
          <w:szCs w:val="40"/>
        </w:rPr>
      </w:pPr>
      <w:r>
        <w:rPr>
          <w:i/>
          <w:sz w:val="40"/>
          <w:szCs w:val="40"/>
        </w:rPr>
        <w:t xml:space="preserve">   </w:t>
      </w:r>
      <w:r w:rsidR="00223816">
        <w:rPr>
          <w:i/>
          <w:sz w:val="40"/>
          <w:szCs w:val="40"/>
        </w:rPr>
        <w:t>“</w:t>
      </w:r>
      <w:r w:rsidR="00773EE3">
        <w:rPr>
          <w:i/>
          <w:sz w:val="40"/>
          <w:szCs w:val="40"/>
        </w:rPr>
        <w:t>En enero</w:t>
      </w:r>
      <w:r>
        <w:rPr>
          <w:i/>
          <w:sz w:val="40"/>
          <w:szCs w:val="40"/>
        </w:rPr>
        <w:t xml:space="preserve"> de 2014 se exportó un 31 % menos de lácteos que en el mismo mes de 2013</w:t>
      </w:r>
      <w:r w:rsidR="00223816">
        <w:rPr>
          <w:i/>
          <w:sz w:val="40"/>
          <w:szCs w:val="40"/>
        </w:rPr>
        <w:t>”</w:t>
      </w:r>
    </w:p>
    <w:p w:rsidR="00223816" w:rsidRPr="00223816" w:rsidRDefault="00223816" w:rsidP="00223816">
      <w:pPr>
        <w:ind w:left="0" w:firstLine="0"/>
        <w:rPr>
          <w:i/>
          <w:sz w:val="40"/>
          <w:szCs w:val="40"/>
        </w:rPr>
      </w:pPr>
    </w:p>
    <w:p w:rsidR="00223816" w:rsidRDefault="00223816" w:rsidP="00223816"/>
    <w:p w:rsidR="00223816" w:rsidRPr="006615EB" w:rsidRDefault="00223816" w:rsidP="00223816">
      <w:pPr>
        <w:pStyle w:val="Prrafodelista"/>
        <w:numPr>
          <w:ilvl w:val="0"/>
          <w:numId w:val="1"/>
        </w:numPr>
        <w:rPr>
          <w:b/>
        </w:rPr>
      </w:pPr>
      <w:r w:rsidRPr="006615EB">
        <w:rPr>
          <w:b/>
        </w:rPr>
        <w:t xml:space="preserve">Introducción </w:t>
      </w:r>
    </w:p>
    <w:p w:rsidR="0051398E" w:rsidRDefault="0051398E" w:rsidP="0051398E">
      <w:pPr>
        <w:pStyle w:val="Prrafodelista"/>
        <w:ind w:firstLine="0"/>
      </w:pPr>
    </w:p>
    <w:p w:rsidR="00223816" w:rsidRDefault="0051398E" w:rsidP="00223816">
      <w:r>
        <w:t xml:space="preserve">       </w:t>
      </w:r>
      <w:r w:rsidR="00223816">
        <w:t xml:space="preserve">Semanas atrás fue dado a conocer por la Cámara de Industrias Lácteas (CIL) una nota interna </w:t>
      </w:r>
      <w:r>
        <w:t xml:space="preserve"> (luego desmentida por l</w:t>
      </w:r>
      <w:r w:rsidR="00223816">
        <w:t>a entidad) donde manifestaba la posibilidad de restricciones en la aprobación de los ROE blancos (permisos de exportaciones de lácteos) para el año 2014.</w:t>
      </w:r>
    </w:p>
    <w:p w:rsidR="00223816" w:rsidRDefault="0051398E" w:rsidP="00223816">
      <w:r>
        <w:t xml:space="preserve">       </w:t>
      </w:r>
      <w:r w:rsidR="00223816">
        <w:t>Esto trae</w:t>
      </w:r>
      <w:r>
        <w:t>ría</w:t>
      </w:r>
      <w:r w:rsidR="00223816">
        <w:t xml:space="preserve"> como consecuencia (no sacar afuera el saldo exportable) </w:t>
      </w:r>
      <w:r w:rsidR="00B04537">
        <w:t>una sobreoferta de leche en el mercado interno, con la consecuente presión negativa en los precios de la materia prima, que si bien tuvieron aumentos, estos no se condicen con el incremento inflacionario de los cos</w:t>
      </w:r>
      <w:r>
        <w:t>tos.</w:t>
      </w:r>
    </w:p>
    <w:p w:rsidR="00B04537" w:rsidRDefault="0051398E" w:rsidP="00223816">
      <w:r>
        <w:t xml:space="preserve">       </w:t>
      </w:r>
      <w:r w:rsidR="00B04537">
        <w:t xml:space="preserve">En este trabajo  vamos analizar las exportaciones de lácteos de </w:t>
      </w:r>
      <w:r w:rsidR="00773EE3">
        <w:t>enero</w:t>
      </w:r>
      <w:r>
        <w:t xml:space="preserve"> del 2012, 2013 y 2014 (este último dado</w:t>
      </w:r>
      <w:r w:rsidR="00B04537">
        <w:t xml:space="preserve"> a conocer por el SENASA con 20 días de atraso), para saber </w:t>
      </w:r>
      <w:r>
        <w:t>cuál</w:t>
      </w:r>
      <w:r w:rsidR="00B04537">
        <w:t xml:space="preserve"> es la tendencia real de la</w:t>
      </w:r>
      <w:r>
        <w:t>s e</w:t>
      </w:r>
      <w:r w:rsidR="006615EB">
        <w:t xml:space="preserve">xportaciones lácteas y concluir </w:t>
      </w:r>
      <w:r>
        <w:t xml:space="preserve">si lo que se conoció periodísticamente </w:t>
      </w:r>
      <w:r w:rsidR="006615EB">
        <w:t>hace unos días puede ser cierto o no.</w:t>
      </w:r>
      <w:r>
        <w:t xml:space="preserve"> </w:t>
      </w:r>
    </w:p>
    <w:p w:rsidR="0051398E" w:rsidRDefault="0051398E" w:rsidP="00223816"/>
    <w:p w:rsidR="00B04537" w:rsidRPr="006615EB" w:rsidRDefault="00B04537" w:rsidP="00B04537">
      <w:pPr>
        <w:pStyle w:val="Prrafodelista"/>
        <w:numPr>
          <w:ilvl w:val="0"/>
          <w:numId w:val="1"/>
        </w:numPr>
        <w:rPr>
          <w:b/>
        </w:rPr>
      </w:pPr>
      <w:r w:rsidRPr="006615EB">
        <w:rPr>
          <w:b/>
        </w:rPr>
        <w:t xml:space="preserve">Exportaciones de </w:t>
      </w:r>
      <w:r w:rsidR="00773EE3">
        <w:rPr>
          <w:b/>
        </w:rPr>
        <w:t>enero</w:t>
      </w:r>
      <w:r w:rsidRPr="006615EB">
        <w:rPr>
          <w:b/>
        </w:rPr>
        <w:t xml:space="preserve"> 2012, </w:t>
      </w:r>
      <w:r w:rsidR="006615EB" w:rsidRPr="006615EB">
        <w:rPr>
          <w:b/>
        </w:rPr>
        <w:t>2</w:t>
      </w:r>
      <w:r w:rsidRPr="006615EB">
        <w:rPr>
          <w:b/>
        </w:rPr>
        <w:t>013 y 2014</w:t>
      </w:r>
    </w:p>
    <w:p w:rsidR="00B04537" w:rsidRPr="006615EB" w:rsidRDefault="00B04537" w:rsidP="00B04537">
      <w:pPr>
        <w:rPr>
          <w:b/>
        </w:rPr>
      </w:pPr>
    </w:p>
    <w:p w:rsidR="0051398E" w:rsidRDefault="0051398E" w:rsidP="0051398E">
      <w:r>
        <w:t xml:space="preserve">       </w:t>
      </w:r>
      <w:r w:rsidR="00E6169D">
        <w:t xml:space="preserve">Si comparamos el total de lo exportado de lácteos en </w:t>
      </w:r>
      <w:r w:rsidR="00773EE3">
        <w:t>enero</w:t>
      </w:r>
      <w:r w:rsidR="00E6169D">
        <w:t xml:space="preserve"> de 2012, 2013 y 2014, observaremos (Cuadro 1) que este año tuvo un</w:t>
      </w:r>
      <w:r w:rsidR="000C3060">
        <w:t>a</w:t>
      </w:r>
      <w:r w:rsidR="00E6169D">
        <w:t xml:space="preserve"> baja muy significativa.</w:t>
      </w:r>
      <w:r w:rsidR="000C3060">
        <w:t xml:space="preserve"> Como observamos las exportaciones de lácteos de </w:t>
      </w:r>
      <w:r w:rsidR="00773EE3">
        <w:t>enero</w:t>
      </w:r>
      <w:r w:rsidR="000C3060">
        <w:t xml:space="preserve"> de 2014 fueron</w:t>
      </w:r>
      <w:r>
        <w:t xml:space="preserve"> un 40 % menor</w:t>
      </w:r>
      <w:r w:rsidR="000C3060">
        <w:t xml:space="preserve"> que en el mismo mes de 2012 y  un  31 % con respeto al 2013</w:t>
      </w:r>
      <w:r>
        <w:t>.</w:t>
      </w:r>
    </w:p>
    <w:p w:rsidR="00E6169D" w:rsidRDefault="00E6169D" w:rsidP="0051398E">
      <w:pPr>
        <w:ind w:left="0" w:firstLine="0"/>
      </w:pPr>
    </w:p>
    <w:p w:rsidR="00E6169D" w:rsidRDefault="00E6169D" w:rsidP="00223816"/>
    <w:p w:rsidR="00E6169D" w:rsidRDefault="00E6169D" w:rsidP="00223816">
      <w:r>
        <w:t xml:space="preserve">Cuadro 1: Exportación de lácteos </w:t>
      </w:r>
    </w:p>
    <w:p w:rsidR="00E6169D" w:rsidRDefault="00E6169D" w:rsidP="00223816"/>
    <w:tbl>
      <w:tblPr>
        <w:tblStyle w:val="Tablaconcuadrcula"/>
        <w:tblW w:w="0" w:type="auto"/>
        <w:tblInd w:w="357" w:type="dxa"/>
        <w:tblLook w:val="04A0"/>
      </w:tblPr>
      <w:tblGrid>
        <w:gridCol w:w="4170"/>
        <w:gridCol w:w="4193"/>
      </w:tblGrid>
      <w:tr w:rsidR="00E6169D" w:rsidTr="00E6169D">
        <w:tc>
          <w:tcPr>
            <w:tcW w:w="4322" w:type="dxa"/>
          </w:tcPr>
          <w:p w:rsidR="00E6169D" w:rsidRDefault="00E6169D" w:rsidP="00223816">
            <w:pPr>
              <w:ind w:left="0" w:firstLine="0"/>
            </w:pPr>
            <w:r>
              <w:t>Enero</w:t>
            </w:r>
          </w:p>
        </w:tc>
        <w:tc>
          <w:tcPr>
            <w:tcW w:w="4322" w:type="dxa"/>
          </w:tcPr>
          <w:p w:rsidR="00E6169D" w:rsidRDefault="00E6169D" w:rsidP="00223816">
            <w:pPr>
              <w:ind w:left="0" w:firstLine="0"/>
            </w:pPr>
            <w:r>
              <w:t>Exportación total de lácteos (</w:t>
            </w:r>
            <w:proofErr w:type="spellStart"/>
            <w:r>
              <w:t>Tn</w:t>
            </w:r>
            <w:proofErr w:type="spellEnd"/>
            <w:r>
              <w:t>)</w:t>
            </w:r>
          </w:p>
        </w:tc>
      </w:tr>
      <w:tr w:rsidR="00E6169D" w:rsidTr="00E6169D">
        <w:tc>
          <w:tcPr>
            <w:tcW w:w="4322" w:type="dxa"/>
          </w:tcPr>
          <w:p w:rsidR="00E6169D" w:rsidRDefault="00E6169D" w:rsidP="00223816">
            <w:pPr>
              <w:ind w:left="0" w:firstLine="0"/>
            </w:pPr>
            <w:r>
              <w:t>2012</w:t>
            </w:r>
          </w:p>
        </w:tc>
        <w:tc>
          <w:tcPr>
            <w:tcW w:w="4322" w:type="dxa"/>
          </w:tcPr>
          <w:p w:rsidR="00E6169D" w:rsidRDefault="00E6169D" w:rsidP="00223816">
            <w:pPr>
              <w:ind w:left="0" w:firstLine="0"/>
            </w:pPr>
            <w:r>
              <w:t>44.339</w:t>
            </w:r>
          </w:p>
        </w:tc>
      </w:tr>
      <w:tr w:rsidR="00E6169D" w:rsidTr="00E6169D">
        <w:tc>
          <w:tcPr>
            <w:tcW w:w="4322" w:type="dxa"/>
          </w:tcPr>
          <w:p w:rsidR="00E6169D" w:rsidRDefault="00E6169D" w:rsidP="00223816">
            <w:pPr>
              <w:ind w:left="0" w:firstLine="0"/>
            </w:pPr>
            <w:r>
              <w:t>2013</w:t>
            </w:r>
          </w:p>
        </w:tc>
        <w:tc>
          <w:tcPr>
            <w:tcW w:w="4322" w:type="dxa"/>
          </w:tcPr>
          <w:p w:rsidR="00E6169D" w:rsidRDefault="00E6169D" w:rsidP="00223816">
            <w:pPr>
              <w:ind w:left="0" w:firstLine="0"/>
            </w:pPr>
            <w:r>
              <w:t>38.800</w:t>
            </w:r>
          </w:p>
        </w:tc>
      </w:tr>
      <w:tr w:rsidR="00E6169D" w:rsidTr="00E6169D">
        <w:tc>
          <w:tcPr>
            <w:tcW w:w="4322" w:type="dxa"/>
          </w:tcPr>
          <w:p w:rsidR="00E6169D" w:rsidRDefault="00E6169D" w:rsidP="00223816">
            <w:pPr>
              <w:ind w:left="0" w:firstLine="0"/>
            </w:pPr>
            <w:r>
              <w:t>2014</w:t>
            </w:r>
          </w:p>
        </w:tc>
        <w:tc>
          <w:tcPr>
            <w:tcW w:w="4322" w:type="dxa"/>
          </w:tcPr>
          <w:p w:rsidR="00E6169D" w:rsidRDefault="00E6169D" w:rsidP="00223816">
            <w:pPr>
              <w:ind w:left="0" w:firstLine="0"/>
            </w:pPr>
            <w:r>
              <w:t>26.748</w:t>
            </w:r>
          </w:p>
        </w:tc>
      </w:tr>
    </w:tbl>
    <w:p w:rsidR="00E6169D" w:rsidRDefault="006615EB" w:rsidP="00223816">
      <w:r>
        <w:t xml:space="preserve">     Elaboración propia con datos de SENASA</w:t>
      </w:r>
    </w:p>
    <w:p w:rsidR="00E6169D" w:rsidRDefault="00E6169D" w:rsidP="00223816"/>
    <w:p w:rsidR="00E6169D" w:rsidRDefault="00E6169D" w:rsidP="00F93CF7">
      <w:pPr>
        <w:ind w:left="0" w:firstLine="0"/>
      </w:pPr>
    </w:p>
    <w:p w:rsidR="00E6169D" w:rsidRDefault="0051398E" w:rsidP="00E6169D">
      <w:r>
        <w:t xml:space="preserve">       </w:t>
      </w:r>
      <w:r w:rsidR="00F93CF7">
        <w:t xml:space="preserve">Si evaluamos por </w:t>
      </w:r>
      <w:r w:rsidR="00E6169D">
        <w:t>rubros exportados</w:t>
      </w:r>
      <w:r w:rsidR="00F93CF7">
        <w:t xml:space="preserve"> -leche, quesos y otros lácteos- (Cuadro 2) podemos concluir que si bien la baja final de los 3 rubros es significa con respeto al 2012, los rubros quesos y otros lácteos</w:t>
      </w:r>
      <w:r>
        <w:t xml:space="preserve"> mantuvieron los niveles de exportación entre el 2012 y 2013, teniendo luego una baja pronunciada en el 2014 (Gráfico 1). A diferencia del rubro leches –</w:t>
      </w:r>
      <w:r>
        <w:lastRenderedPageBreak/>
        <w:t xml:space="preserve">en polvo entera, descremada y especiales- cuya curva tuvo una tendencia </w:t>
      </w:r>
      <w:r w:rsidR="006615EB">
        <w:t>constante hacia la baja</w:t>
      </w:r>
      <w:r>
        <w:t>.</w:t>
      </w:r>
    </w:p>
    <w:p w:rsidR="00E6169D" w:rsidRDefault="00E6169D" w:rsidP="00E6169D"/>
    <w:p w:rsidR="00E6169D" w:rsidRDefault="00E6169D" w:rsidP="00E6169D">
      <w:r>
        <w:t xml:space="preserve"> Cuadro 1: </w:t>
      </w:r>
      <w:r w:rsidRPr="006615EB">
        <w:rPr>
          <w:b/>
        </w:rPr>
        <w:t>Exportaciones de lácteos por rubro</w:t>
      </w:r>
    </w:p>
    <w:p w:rsidR="00E6169D" w:rsidRDefault="00E6169D" w:rsidP="00E6169D"/>
    <w:tbl>
      <w:tblPr>
        <w:tblStyle w:val="Tablaconcuadrcula"/>
        <w:tblW w:w="0" w:type="auto"/>
        <w:tblInd w:w="357" w:type="dxa"/>
        <w:tblLook w:val="04A0"/>
      </w:tblPr>
      <w:tblGrid>
        <w:gridCol w:w="2108"/>
        <w:gridCol w:w="2085"/>
        <w:gridCol w:w="2085"/>
        <w:gridCol w:w="2085"/>
      </w:tblGrid>
      <w:tr w:rsidR="00E6169D" w:rsidTr="006615EB">
        <w:tc>
          <w:tcPr>
            <w:tcW w:w="2108" w:type="dxa"/>
          </w:tcPr>
          <w:p w:rsidR="00E6169D" w:rsidRDefault="00E6169D" w:rsidP="00A0112D">
            <w:pPr>
              <w:ind w:left="0" w:firstLine="0"/>
            </w:pPr>
            <w:r>
              <w:t>Productos</w:t>
            </w:r>
          </w:p>
        </w:tc>
        <w:tc>
          <w:tcPr>
            <w:tcW w:w="2085" w:type="dxa"/>
          </w:tcPr>
          <w:p w:rsidR="00E6169D" w:rsidRDefault="00E6169D" w:rsidP="00A0112D">
            <w:pPr>
              <w:ind w:left="0" w:firstLine="0"/>
            </w:pPr>
            <w:r>
              <w:t>Enero 2012</w:t>
            </w:r>
          </w:p>
        </w:tc>
        <w:tc>
          <w:tcPr>
            <w:tcW w:w="2085" w:type="dxa"/>
          </w:tcPr>
          <w:p w:rsidR="00E6169D" w:rsidRDefault="00E6169D" w:rsidP="00A0112D">
            <w:pPr>
              <w:ind w:left="0" w:firstLine="0"/>
            </w:pPr>
            <w:r>
              <w:t>Enero 2013</w:t>
            </w:r>
          </w:p>
        </w:tc>
        <w:tc>
          <w:tcPr>
            <w:tcW w:w="2085" w:type="dxa"/>
          </w:tcPr>
          <w:p w:rsidR="00E6169D" w:rsidRDefault="00E6169D" w:rsidP="00A0112D">
            <w:pPr>
              <w:ind w:left="0" w:firstLine="0"/>
            </w:pPr>
            <w:r>
              <w:t>Enero 2014</w:t>
            </w:r>
          </w:p>
        </w:tc>
      </w:tr>
      <w:tr w:rsidR="00E6169D" w:rsidTr="006615EB">
        <w:tc>
          <w:tcPr>
            <w:tcW w:w="2108" w:type="dxa"/>
          </w:tcPr>
          <w:p w:rsidR="00E6169D" w:rsidRDefault="00E6169D" w:rsidP="00A0112D">
            <w:pPr>
              <w:ind w:left="0" w:firstLine="0"/>
            </w:pPr>
            <w:r>
              <w:t>Leches (</w:t>
            </w:r>
            <w:proofErr w:type="spellStart"/>
            <w:r>
              <w:t>Tn</w:t>
            </w:r>
            <w:proofErr w:type="spellEnd"/>
            <w:r>
              <w:t>)</w:t>
            </w:r>
          </w:p>
        </w:tc>
        <w:tc>
          <w:tcPr>
            <w:tcW w:w="2085" w:type="dxa"/>
          </w:tcPr>
          <w:p w:rsidR="00E6169D" w:rsidRDefault="00E6169D" w:rsidP="00A0112D">
            <w:pPr>
              <w:ind w:left="0" w:firstLine="0"/>
            </w:pPr>
            <w:r>
              <w:t>26.411</w:t>
            </w:r>
          </w:p>
        </w:tc>
        <w:tc>
          <w:tcPr>
            <w:tcW w:w="2085" w:type="dxa"/>
          </w:tcPr>
          <w:p w:rsidR="00E6169D" w:rsidRDefault="00E6169D" w:rsidP="00A0112D">
            <w:pPr>
              <w:ind w:left="0" w:firstLine="0"/>
            </w:pPr>
            <w:r>
              <w:t>20.656</w:t>
            </w:r>
          </w:p>
        </w:tc>
        <w:tc>
          <w:tcPr>
            <w:tcW w:w="2085" w:type="dxa"/>
          </w:tcPr>
          <w:p w:rsidR="00E6169D" w:rsidRDefault="00E6169D" w:rsidP="00A0112D">
            <w:pPr>
              <w:ind w:left="0" w:firstLine="0"/>
            </w:pPr>
            <w:r>
              <w:t>16.236</w:t>
            </w:r>
          </w:p>
        </w:tc>
      </w:tr>
      <w:tr w:rsidR="00E6169D" w:rsidTr="006615EB">
        <w:tc>
          <w:tcPr>
            <w:tcW w:w="2108" w:type="dxa"/>
          </w:tcPr>
          <w:p w:rsidR="00E6169D" w:rsidRDefault="00E6169D" w:rsidP="00A0112D">
            <w:pPr>
              <w:ind w:left="0" w:firstLine="0"/>
            </w:pPr>
            <w:r>
              <w:t>Quesos(</w:t>
            </w:r>
            <w:proofErr w:type="spellStart"/>
            <w:r>
              <w:t>Tn</w:t>
            </w:r>
            <w:proofErr w:type="spellEnd"/>
            <w:r>
              <w:t>)</w:t>
            </w:r>
          </w:p>
        </w:tc>
        <w:tc>
          <w:tcPr>
            <w:tcW w:w="2085" w:type="dxa"/>
          </w:tcPr>
          <w:p w:rsidR="00E6169D" w:rsidRDefault="00E6169D" w:rsidP="00A0112D">
            <w:pPr>
              <w:ind w:left="0" w:firstLine="0"/>
            </w:pPr>
            <w:r>
              <w:t>6.181</w:t>
            </w:r>
          </w:p>
        </w:tc>
        <w:tc>
          <w:tcPr>
            <w:tcW w:w="2085" w:type="dxa"/>
          </w:tcPr>
          <w:p w:rsidR="00E6169D" w:rsidRDefault="00E6169D" w:rsidP="00A0112D">
            <w:pPr>
              <w:ind w:left="0" w:firstLine="0"/>
            </w:pPr>
            <w:r>
              <w:t>6.575</w:t>
            </w:r>
          </w:p>
        </w:tc>
        <w:tc>
          <w:tcPr>
            <w:tcW w:w="2085" w:type="dxa"/>
          </w:tcPr>
          <w:p w:rsidR="00E6169D" w:rsidRDefault="00E6169D" w:rsidP="00A0112D">
            <w:pPr>
              <w:ind w:left="0" w:firstLine="0"/>
            </w:pPr>
            <w:r>
              <w:t>3.498</w:t>
            </w:r>
          </w:p>
        </w:tc>
      </w:tr>
      <w:tr w:rsidR="00E6169D" w:rsidTr="006615EB">
        <w:tc>
          <w:tcPr>
            <w:tcW w:w="2108" w:type="dxa"/>
          </w:tcPr>
          <w:p w:rsidR="00E6169D" w:rsidRDefault="00E6169D" w:rsidP="00A0112D">
            <w:pPr>
              <w:ind w:left="0" w:firstLine="0"/>
            </w:pPr>
            <w:r>
              <w:t>Otros lácteos(</w:t>
            </w:r>
            <w:proofErr w:type="spellStart"/>
            <w:r>
              <w:t>Tn</w:t>
            </w:r>
            <w:proofErr w:type="spellEnd"/>
            <w:r>
              <w:t>)</w:t>
            </w:r>
          </w:p>
        </w:tc>
        <w:tc>
          <w:tcPr>
            <w:tcW w:w="2085" w:type="dxa"/>
          </w:tcPr>
          <w:p w:rsidR="00E6169D" w:rsidRDefault="00E6169D" w:rsidP="00A0112D">
            <w:pPr>
              <w:ind w:left="0" w:firstLine="0"/>
            </w:pPr>
            <w:r>
              <w:t>11.747</w:t>
            </w:r>
          </w:p>
        </w:tc>
        <w:tc>
          <w:tcPr>
            <w:tcW w:w="2085" w:type="dxa"/>
          </w:tcPr>
          <w:p w:rsidR="00E6169D" w:rsidRDefault="00E6169D" w:rsidP="00A0112D">
            <w:pPr>
              <w:ind w:left="0" w:firstLine="0"/>
            </w:pPr>
            <w:r>
              <w:t>11.569</w:t>
            </w:r>
          </w:p>
        </w:tc>
        <w:tc>
          <w:tcPr>
            <w:tcW w:w="2085" w:type="dxa"/>
          </w:tcPr>
          <w:p w:rsidR="00E6169D" w:rsidRDefault="00E6169D" w:rsidP="00A0112D">
            <w:pPr>
              <w:ind w:left="0" w:firstLine="0"/>
            </w:pPr>
            <w:r>
              <w:t>7.014</w:t>
            </w:r>
          </w:p>
        </w:tc>
      </w:tr>
    </w:tbl>
    <w:p w:rsidR="006615EB" w:rsidRDefault="006615EB" w:rsidP="006615EB">
      <w:r>
        <w:t xml:space="preserve">     Elaboración propia con datos de SENASA</w:t>
      </w:r>
    </w:p>
    <w:p w:rsidR="00E6169D" w:rsidRDefault="00E6169D" w:rsidP="00E6169D"/>
    <w:p w:rsidR="00E6169D" w:rsidRDefault="00E6169D" w:rsidP="00223816"/>
    <w:p w:rsidR="00E6169D" w:rsidRDefault="00E6169D" w:rsidP="00223816"/>
    <w:p w:rsidR="00E6169D" w:rsidRDefault="00E6169D" w:rsidP="00223816"/>
    <w:p w:rsidR="00E6169D" w:rsidRDefault="0051398E" w:rsidP="00223816">
      <w:r>
        <w:t>Gráfico 1</w:t>
      </w:r>
    </w:p>
    <w:p w:rsidR="00E6169D" w:rsidRDefault="00E6169D" w:rsidP="00223816"/>
    <w:p w:rsidR="00E6169D" w:rsidRDefault="00E6169D" w:rsidP="00223816"/>
    <w:p w:rsidR="00223816" w:rsidRDefault="002F1174" w:rsidP="00223816">
      <w:r>
        <w:rPr>
          <w:noProof/>
          <w:lang w:val="es-AR" w:eastAsia="es-AR"/>
        </w:rPr>
        <w:drawing>
          <wp:inline distT="0" distB="0" distL="0" distR="0">
            <wp:extent cx="5400040" cy="3150235"/>
            <wp:effectExtent l="19050" t="0" r="1016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223816" w:rsidRDefault="00223816" w:rsidP="00223816">
      <w:pPr>
        <w:ind w:left="0"/>
      </w:pPr>
    </w:p>
    <w:p w:rsidR="006615EB" w:rsidRDefault="006615EB" w:rsidP="00223816">
      <w:pPr>
        <w:ind w:left="0"/>
      </w:pPr>
    </w:p>
    <w:p w:rsidR="00BC6B14" w:rsidRDefault="00BC6B14" w:rsidP="00223816">
      <w:pPr>
        <w:ind w:left="0"/>
      </w:pPr>
    </w:p>
    <w:p w:rsidR="00BC6B14" w:rsidRDefault="00BC6B14" w:rsidP="00223816">
      <w:pPr>
        <w:ind w:left="0"/>
      </w:pPr>
    </w:p>
    <w:p w:rsidR="006615EB" w:rsidRDefault="006615EB" w:rsidP="00223816">
      <w:pPr>
        <w:ind w:left="0"/>
      </w:pPr>
    </w:p>
    <w:p w:rsidR="003A2775" w:rsidRDefault="003A2775" w:rsidP="006615EB">
      <w:pPr>
        <w:pStyle w:val="Prrafodelista"/>
        <w:numPr>
          <w:ilvl w:val="0"/>
          <w:numId w:val="1"/>
        </w:numPr>
      </w:pPr>
      <w:r>
        <w:t>ROE Blancos otorgados</w:t>
      </w:r>
    </w:p>
    <w:p w:rsidR="003A2775" w:rsidRDefault="003A2775" w:rsidP="003A2775"/>
    <w:p w:rsidR="003A2775" w:rsidRDefault="0094598B" w:rsidP="003A2775">
      <w:r>
        <w:t xml:space="preserve">       Si hacemos un seguimiento de </w:t>
      </w:r>
      <w:r w:rsidR="00BC6B14">
        <w:t xml:space="preserve">la solicitudes aprobadas de </w:t>
      </w:r>
      <w:r>
        <w:t xml:space="preserve">los ROE </w:t>
      </w:r>
      <w:r w:rsidR="00410E4C">
        <w:t xml:space="preserve">Blancos </w:t>
      </w:r>
      <w:proofErr w:type="gramStart"/>
      <w:r w:rsidR="00410E4C">
        <w:t>( ROEL</w:t>
      </w:r>
      <w:proofErr w:type="gramEnd"/>
      <w:r w:rsidR="00410E4C">
        <w:t>: permisos de exportación para productos lácteos</w:t>
      </w:r>
      <w:r w:rsidR="00BC6B14">
        <w:t>)</w:t>
      </w:r>
      <w:r>
        <w:t xml:space="preserve"> en est</w:t>
      </w:r>
      <w:r w:rsidR="00BC6B14">
        <w:t xml:space="preserve">os últimos </w:t>
      </w:r>
      <w:r>
        <w:t>4 meses (Cuadro 3) , comprobaremos</w:t>
      </w:r>
      <w:r w:rsidR="00BC6B14">
        <w:t xml:space="preserve"> una</w:t>
      </w:r>
      <w:r>
        <w:t xml:space="preserve"> disminución con</w:t>
      </w:r>
      <w:r w:rsidR="00773EE3">
        <w:t>s</w:t>
      </w:r>
      <w:r>
        <w:t>tante de estos.</w:t>
      </w:r>
    </w:p>
    <w:p w:rsidR="00BC6B14" w:rsidRDefault="00BC6B14" w:rsidP="003A2775"/>
    <w:p w:rsidR="00BC6B14" w:rsidRDefault="00BC6B14" w:rsidP="003A2775">
      <w:r>
        <w:rPr>
          <w:noProof/>
          <w:lang w:val="es-AR" w:eastAsia="es-AR"/>
        </w:rPr>
        <w:lastRenderedPageBreak/>
        <w:drawing>
          <wp:inline distT="0" distB="0" distL="0" distR="0">
            <wp:extent cx="5400040" cy="3150235"/>
            <wp:effectExtent l="19050" t="0" r="10160"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4598B" w:rsidRDefault="0094598B" w:rsidP="003A2775"/>
    <w:p w:rsidR="0094598B" w:rsidRDefault="0094598B" w:rsidP="003A2775"/>
    <w:p w:rsidR="0094598B" w:rsidRDefault="0094598B" w:rsidP="003A2775"/>
    <w:p w:rsidR="0094598B" w:rsidRDefault="0094598B" w:rsidP="003A2775"/>
    <w:p w:rsidR="0094598B" w:rsidRDefault="0094598B" w:rsidP="003A2775"/>
    <w:p w:rsidR="0094598B" w:rsidRDefault="0094598B" w:rsidP="003A2775"/>
    <w:p w:rsidR="006615EB" w:rsidRDefault="006615EB" w:rsidP="006615EB">
      <w:pPr>
        <w:pStyle w:val="Prrafodelista"/>
        <w:numPr>
          <w:ilvl w:val="0"/>
          <w:numId w:val="1"/>
        </w:numPr>
      </w:pPr>
      <w:r>
        <w:t>Conclusión</w:t>
      </w:r>
    </w:p>
    <w:p w:rsidR="006615EB" w:rsidRDefault="006615EB" w:rsidP="006615EB">
      <w:pPr>
        <w:ind w:left="360" w:firstLine="0"/>
      </w:pPr>
    </w:p>
    <w:p w:rsidR="006615EB" w:rsidRDefault="006615EB" w:rsidP="006615EB">
      <w:pPr>
        <w:ind w:left="360" w:firstLine="0"/>
      </w:pPr>
      <w:r>
        <w:t xml:space="preserve">Las </w:t>
      </w:r>
      <w:r w:rsidR="00410E4C">
        <w:t xml:space="preserve">menores </w:t>
      </w:r>
      <w:r>
        <w:t xml:space="preserve">exportaciones de </w:t>
      </w:r>
      <w:r w:rsidR="00773EE3">
        <w:t>enero</w:t>
      </w:r>
      <w:r>
        <w:t xml:space="preserve"> de 2014 </w:t>
      </w:r>
      <w:r w:rsidR="00410E4C">
        <w:t xml:space="preserve">–comparadas con el mismo período de 2012 y 2013- </w:t>
      </w:r>
      <w:r w:rsidR="00BC6B14">
        <w:t xml:space="preserve">y las solicitudes aprobadas de </w:t>
      </w:r>
      <w:r w:rsidR="00410E4C">
        <w:t xml:space="preserve">los </w:t>
      </w:r>
      <w:r w:rsidR="00BC6B14">
        <w:t xml:space="preserve">ROEL de estos últimos 4 meses, nos </w:t>
      </w:r>
      <w:r w:rsidR="00410E4C">
        <w:t>estarían</w:t>
      </w:r>
      <w:r w:rsidR="00BC6B14">
        <w:t xml:space="preserve"> indicando  ciertas restricciones</w:t>
      </w:r>
      <w:r w:rsidR="00410E4C">
        <w:t xml:space="preserve"> para</w:t>
      </w:r>
      <w:r w:rsidR="00BC6B14">
        <w:t xml:space="preserve"> las</w:t>
      </w:r>
      <w:r>
        <w:t xml:space="preserve"> exportaciones de </w:t>
      </w:r>
      <w:r w:rsidR="00410E4C">
        <w:t xml:space="preserve">productos </w:t>
      </w:r>
      <w:r>
        <w:t>lá</w:t>
      </w:r>
      <w:r w:rsidR="00410E4C">
        <w:t>cteos</w:t>
      </w:r>
      <w:r>
        <w:t>.</w:t>
      </w:r>
    </w:p>
    <w:p w:rsidR="00E67308" w:rsidRDefault="00E67308" w:rsidP="006615EB">
      <w:pPr>
        <w:ind w:left="360" w:firstLine="0"/>
      </w:pPr>
    </w:p>
    <w:p w:rsidR="00E67308" w:rsidRDefault="00E67308" w:rsidP="00E67308"/>
    <w:p w:rsidR="00E67308" w:rsidRDefault="00E67308" w:rsidP="00E67308">
      <w:pPr>
        <w:jc w:val="right"/>
      </w:pPr>
      <w:r w:rsidRPr="00E67308">
        <w:t xml:space="preserve">Ing. </w:t>
      </w:r>
      <w:proofErr w:type="spellStart"/>
      <w:r w:rsidRPr="00E67308">
        <w:t>Agr</w:t>
      </w:r>
      <w:proofErr w:type="spellEnd"/>
      <w:r w:rsidRPr="00E67308">
        <w:t xml:space="preserve">. Néstor Eduardo </w:t>
      </w:r>
      <w:proofErr w:type="spellStart"/>
      <w:r w:rsidRPr="00E67308">
        <w:t>Roulet</w:t>
      </w:r>
      <w:proofErr w:type="spellEnd"/>
    </w:p>
    <w:p w:rsidR="00E67308" w:rsidRPr="00ED758E" w:rsidRDefault="00ED758E" w:rsidP="00ED758E">
      <w:pPr>
        <w:jc w:val="right"/>
        <w:rPr>
          <w:color w:val="76923C" w:themeColor="accent3" w:themeShade="BF"/>
        </w:rPr>
      </w:pPr>
      <w:hyperlink r:id="rId7" w:history="1">
        <w:r w:rsidRPr="00ED758E">
          <w:rPr>
            <w:rStyle w:val="Hipervnculo"/>
            <w:color w:val="76923C" w:themeColor="accent3" w:themeShade="BF"/>
            <w:u w:val="none"/>
          </w:rPr>
          <w:t>agroblog.com.ar</w:t>
        </w:r>
      </w:hyperlink>
    </w:p>
    <w:sectPr w:rsidR="00E67308" w:rsidRPr="00ED758E" w:rsidSect="008E6D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765117"/>
    <w:multiLevelType w:val="hybridMultilevel"/>
    <w:tmpl w:val="0F7419E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23816"/>
    <w:rsid w:val="00000ADB"/>
    <w:rsid w:val="00005069"/>
    <w:rsid w:val="00011401"/>
    <w:rsid w:val="00014BB1"/>
    <w:rsid w:val="000170FD"/>
    <w:rsid w:val="000223B5"/>
    <w:rsid w:val="00023D6F"/>
    <w:rsid w:val="00024A13"/>
    <w:rsid w:val="00024A39"/>
    <w:rsid w:val="0002661C"/>
    <w:rsid w:val="00027A0E"/>
    <w:rsid w:val="000305F8"/>
    <w:rsid w:val="00034304"/>
    <w:rsid w:val="00034A9F"/>
    <w:rsid w:val="00036606"/>
    <w:rsid w:val="00037757"/>
    <w:rsid w:val="00041FC0"/>
    <w:rsid w:val="0004459B"/>
    <w:rsid w:val="00045F42"/>
    <w:rsid w:val="00047EB9"/>
    <w:rsid w:val="00050629"/>
    <w:rsid w:val="00051B99"/>
    <w:rsid w:val="00051D67"/>
    <w:rsid w:val="000548BB"/>
    <w:rsid w:val="00062A24"/>
    <w:rsid w:val="00064D39"/>
    <w:rsid w:val="00073F1E"/>
    <w:rsid w:val="00074734"/>
    <w:rsid w:val="00075819"/>
    <w:rsid w:val="0007591B"/>
    <w:rsid w:val="00080C59"/>
    <w:rsid w:val="000840E1"/>
    <w:rsid w:val="00085E93"/>
    <w:rsid w:val="00090544"/>
    <w:rsid w:val="00091586"/>
    <w:rsid w:val="000A04FE"/>
    <w:rsid w:val="000A0EA7"/>
    <w:rsid w:val="000A1541"/>
    <w:rsid w:val="000A29A4"/>
    <w:rsid w:val="000A2ED7"/>
    <w:rsid w:val="000A33CB"/>
    <w:rsid w:val="000A4DBB"/>
    <w:rsid w:val="000B0224"/>
    <w:rsid w:val="000B4355"/>
    <w:rsid w:val="000C2E63"/>
    <w:rsid w:val="000C3060"/>
    <w:rsid w:val="000C3443"/>
    <w:rsid w:val="000C56CB"/>
    <w:rsid w:val="000C66DE"/>
    <w:rsid w:val="000D00D0"/>
    <w:rsid w:val="000D1534"/>
    <w:rsid w:val="000D303A"/>
    <w:rsid w:val="000D3116"/>
    <w:rsid w:val="000D5EEC"/>
    <w:rsid w:val="000E0358"/>
    <w:rsid w:val="000E0694"/>
    <w:rsid w:val="000E2FF6"/>
    <w:rsid w:val="000E39B8"/>
    <w:rsid w:val="000E3A9A"/>
    <w:rsid w:val="000E4F55"/>
    <w:rsid w:val="000F2414"/>
    <w:rsid w:val="000F2A34"/>
    <w:rsid w:val="000F2E60"/>
    <w:rsid w:val="000F336B"/>
    <w:rsid w:val="000F4D75"/>
    <w:rsid w:val="000F74B5"/>
    <w:rsid w:val="000F7648"/>
    <w:rsid w:val="001002B0"/>
    <w:rsid w:val="00101805"/>
    <w:rsid w:val="00104269"/>
    <w:rsid w:val="00107BA0"/>
    <w:rsid w:val="001108A4"/>
    <w:rsid w:val="001138FE"/>
    <w:rsid w:val="00113CFF"/>
    <w:rsid w:val="00114926"/>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2ADB"/>
    <w:rsid w:val="00164131"/>
    <w:rsid w:val="001643F3"/>
    <w:rsid w:val="00166BEB"/>
    <w:rsid w:val="001676D6"/>
    <w:rsid w:val="0017159E"/>
    <w:rsid w:val="00175059"/>
    <w:rsid w:val="00176BF5"/>
    <w:rsid w:val="00181FEE"/>
    <w:rsid w:val="00182031"/>
    <w:rsid w:val="0018438F"/>
    <w:rsid w:val="00186D99"/>
    <w:rsid w:val="0018725A"/>
    <w:rsid w:val="00190446"/>
    <w:rsid w:val="0019322A"/>
    <w:rsid w:val="001937E1"/>
    <w:rsid w:val="00193C30"/>
    <w:rsid w:val="001964DA"/>
    <w:rsid w:val="00197AAF"/>
    <w:rsid w:val="001A0C6C"/>
    <w:rsid w:val="001A6FD2"/>
    <w:rsid w:val="001B36DE"/>
    <w:rsid w:val="001B5E3F"/>
    <w:rsid w:val="001B65C3"/>
    <w:rsid w:val="001B6C13"/>
    <w:rsid w:val="001C1075"/>
    <w:rsid w:val="001C1780"/>
    <w:rsid w:val="001C2675"/>
    <w:rsid w:val="001D29DD"/>
    <w:rsid w:val="001D38DD"/>
    <w:rsid w:val="001D513D"/>
    <w:rsid w:val="001E3420"/>
    <w:rsid w:val="001E41D8"/>
    <w:rsid w:val="001F2B70"/>
    <w:rsid w:val="001F4A5D"/>
    <w:rsid w:val="001F626B"/>
    <w:rsid w:val="00200C0A"/>
    <w:rsid w:val="0020105A"/>
    <w:rsid w:val="00201DE4"/>
    <w:rsid w:val="00202A40"/>
    <w:rsid w:val="00203F96"/>
    <w:rsid w:val="00206B16"/>
    <w:rsid w:val="00206C4B"/>
    <w:rsid w:val="00211962"/>
    <w:rsid w:val="0021310A"/>
    <w:rsid w:val="002146F2"/>
    <w:rsid w:val="002158B9"/>
    <w:rsid w:val="00217102"/>
    <w:rsid w:val="002203A5"/>
    <w:rsid w:val="00220F55"/>
    <w:rsid w:val="0022320D"/>
    <w:rsid w:val="00223816"/>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A0B"/>
    <w:rsid w:val="00275AB6"/>
    <w:rsid w:val="00282A04"/>
    <w:rsid w:val="00285CE7"/>
    <w:rsid w:val="002863F0"/>
    <w:rsid w:val="002911FF"/>
    <w:rsid w:val="00291696"/>
    <w:rsid w:val="0029229F"/>
    <w:rsid w:val="002929F5"/>
    <w:rsid w:val="00293809"/>
    <w:rsid w:val="00294CC4"/>
    <w:rsid w:val="00294DD3"/>
    <w:rsid w:val="00294F59"/>
    <w:rsid w:val="00296A59"/>
    <w:rsid w:val="00296B57"/>
    <w:rsid w:val="002A07F0"/>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57FA"/>
    <w:rsid w:val="002D5F5F"/>
    <w:rsid w:val="002D6466"/>
    <w:rsid w:val="002E120B"/>
    <w:rsid w:val="002E1D87"/>
    <w:rsid w:val="002F0374"/>
    <w:rsid w:val="002F1174"/>
    <w:rsid w:val="002F563C"/>
    <w:rsid w:val="00300D67"/>
    <w:rsid w:val="00300E28"/>
    <w:rsid w:val="003036D2"/>
    <w:rsid w:val="003045D9"/>
    <w:rsid w:val="00304CEB"/>
    <w:rsid w:val="003060B5"/>
    <w:rsid w:val="00311EF1"/>
    <w:rsid w:val="00312805"/>
    <w:rsid w:val="00312ACF"/>
    <w:rsid w:val="00313DD3"/>
    <w:rsid w:val="00321555"/>
    <w:rsid w:val="003221E3"/>
    <w:rsid w:val="003223E1"/>
    <w:rsid w:val="00324F9C"/>
    <w:rsid w:val="00326CD1"/>
    <w:rsid w:val="0033019F"/>
    <w:rsid w:val="00332191"/>
    <w:rsid w:val="003409CD"/>
    <w:rsid w:val="00340C2B"/>
    <w:rsid w:val="003414D5"/>
    <w:rsid w:val="00344FED"/>
    <w:rsid w:val="003543B6"/>
    <w:rsid w:val="00356146"/>
    <w:rsid w:val="003628F2"/>
    <w:rsid w:val="003638E8"/>
    <w:rsid w:val="00363D2B"/>
    <w:rsid w:val="00363F73"/>
    <w:rsid w:val="00364E2D"/>
    <w:rsid w:val="003654D7"/>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2775"/>
    <w:rsid w:val="003A307B"/>
    <w:rsid w:val="003B1E31"/>
    <w:rsid w:val="003B4100"/>
    <w:rsid w:val="003B76EF"/>
    <w:rsid w:val="003C1617"/>
    <w:rsid w:val="003C4BB9"/>
    <w:rsid w:val="003C6518"/>
    <w:rsid w:val="003D0D58"/>
    <w:rsid w:val="003D4F7A"/>
    <w:rsid w:val="003E509A"/>
    <w:rsid w:val="003E6450"/>
    <w:rsid w:val="003E6555"/>
    <w:rsid w:val="003E75D9"/>
    <w:rsid w:val="003F2935"/>
    <w:rsid w:val="003F3D33"/>
    <w:rsid w:val="003F4676"/>
    <w:rsid w:val="003F51DF"/>
    <w:rsid w:val="003F5AA4"/>
    <w:rsid w:val="00403E78"/>
    <w:rsid w:val="0040467F"/>
    <w:rsid w:val="00410E4C"/>
    <w:rsid w:val="00411FB2"/>
    <w:rsid w:val="00412460"/>
    <w:rsid w:val="00414716"/>
    <w:rsid w:val="004151B5"/>
    <w:rsid w:val="00417382"/>
    <w:rsid w:val="004179CF"/>
    <w:rsid w:val="0042252E"/>
    <w:rsid w:val="00423E74"/>
    <w:rsid w:val="00424759"/>
    <w:rsid w:val="004248C8"/>
    <w:rsid w:val="004260BD"/>
    <w:rsid w:val="00426DB9"/>
    <w:rsid w:val="00434490"/>
    <w:rsid w:val="0043534A"/>
    <w:rsid w:val="0043555F"/>
    <w:rsid w:val="004357B4"/>
    <w:rsid w:val="00436766"/>
    <w:rsid w:val="004401D5"/>
    <w:rsid w:val="004406AB"/>
    <w:rsid w:val="00442981"/>
    <w:rsid w:val="004456FA"/>
    <w:rsid w:val="00446DB1"/>
    <w:rsid w:val="00447378"/>
    <w:rsid w:val="004478E1"/>
    <w:rsid w:val="00451F44"/>
    <w:rsid w:val="00452C78"/>
    <w:rsid w:val="0045361D"/>
    <w:rsid w:val="00457D35"/>
    <w:rsid w:val="004636D8"/>
    <w:rsid w:val="00463BE7"/>
    <w:rsid w:val="00464EB8"/>
    <w:rsid w:val="0046573F"/>
    <w:rsid w:val="004673B7"/>
    <w:rsid w:val="00471E93"/>
    <w:rsid w:val="00471F40"/>
    <w:rsid w:val="004759E4"/>
    <w:rsid w:val="00475F3E"/>
    <w:rsid w:val="004769C7"/>
    <w:rsid w:val="0048006B"/>
    <w:rsid w:val="004807B3"/>
    <w:rsid w:val="004877D5"/>
    <w:rsid w:val="004931EE"/>
    <w:rsid w:val="00493AD3"/>
    <w:rsid w:val="0049738B"/>
    <w:rsid w:val="004A033A"/>
    <w:rsid w:val="004A03CA"/>
    <w:rsid w:val="004A0B09"/>
    <w:rsid w:val="004A1112"/>
    <w:rsid w:val="004A36F4"/>
    <w:rsid w:val="004A3B0D"/>
    <w:rsid w:val="004A420E"/>
    <w:rsid w:val="004A72E1"/>
    <w:rsid w:val="004B0AB6"/>
    <w:rsid w:val="004B1E5F"/>
    <w:rsid w:val="004C2835"/>
    <w:rsid w:val="004C5DE3"/>
    <w:rsid w:val="004C7BAB"/>
    <w:rsid w:val="004D3927"/>
    <w:rsid w:val="004D62D7"/>
    <w:rsid w:val="004E05E8"/>
    <w:rsid w:val="004E16E1"/>
    <w:rsid w:val="004E275D"/>
    <w:rsid w:val="004E46D7"/>
    <w:rsid w:val="004E54DC"/>
    <w:rsid w:val="004E63E3"/>
    <w:rsid w:val="004F20DF"/>
    <w:rsid w:val="004F458D"/>
    <w:rsid w:val="004F5481"/>
    <w:rsid w:val="004F5B3B"/>
    <w:rsid w:val="004F73C5"/>
    <w:rsid w:val="004F76E6"/>
    <w:rsid w:val="00504A0A"/>
    <w:rsid w:val="00506D4C"/>
    <w:rsid w:val="005074C4"/>
    <w:rsid w:val="005104CB"/>
    <w:rsid w:val="0051398E"/>
    <w:rsid w:val="00513F19"/>
    <w:rsid w:val="005143D4"/>
    <w:rsid w:val="0051493D"/>
    <w:rsid w:val="00515B4F"/>
    <w:rsid w:val="00516525"/>
    <w:rsid w:val="00517F47"/>
    <w:rsid w:val="00520A2E"/>
    <w:rsid w:val="005215C6"/>
    <w:rsid w:val="00525BCD"/>
    <w:rsid w:val="005263CA"/>
    <w:rsid w:val="005364BC"/>
    <w:rsid w:val="00540C64"/>
    <w:rsid w:val="00540F0B"/>
    <w:rsid w:val="00542135"/>
    <w:rsid w:val="005447B5"/>
    <w:rsid w:val="00546405"/>
    <w:rsid w:val="00546AC1"/>
    <w:rsid w:val="00552D5B"/>
    <w:rsid w:val="0055373A"/>
    <w:rsid w:val="00556985"/>
    <w:rsid w:val="0055749B"/>
    <w:rsid w:val="00561E0E"/>
    <w:rsid w:val="00563CA6"/>
    <w:rsid w:val="00572E4A"/>
    <w:rsid w:val="00573027"/>
    <w:rsid w:val="00577736"/>
    <w:rsid w:val="0058071A"/>
    <w:rsid w:val="00582EFB"/>
    <w:rsid w:val="00583E8A"/>
    <w:rsid w:val="00584914"/>
    <w:rsid w:val="00584B8C"/>
    <w:rsid w:val="00584CFD"/>
    <w:rsid w:val="005901BF"/>
    <w:rsid w:val="00592932"/>
    <w:rsid w:val="005930A1"/>
    <w:rsid w:val="00594146"/>
    <w:rsid w:val="00596561"/>
    <w:rsid w:val="00596D10"/>
    <w:rsid w:val="005A21E1"/>
    <w:rsid w:val="005A2426"/>
    <w:rsid w:val="005A2AEF"/>
    <w:rsid w:val="005A398A"/>
    <w:rsid w:val="005A4E02"/>
    <w:rsid w:val="005A60F2"/>
    <w:rsid w:val="005B005D"/>
    <w:rsid w:val="005B0570"/>
    <w:rsid w:val="005B061A"/>
    <w:rsid w:val="005B1A09"/>
    <w:rsid w:val="005B22D2"/>
    <w:rsid w:val="005C1526"/>
    <w:rsid w:val="005C25CA"/>
    <w:rsid w:val="005C4DB0"/>
    <w:rsid w:val="005C4E81"/>
    <w:rsid w:val="005C62D1"/>
    <w:rsid w:val="005D4761"/>
    <w:rsid w:val="005D7562"/>
    <w:rsid w:val="005D7724"/>
    <w:rsid w:val="005D781D"/>
    <w:rsid w:val="005D7F51"/>
    <w:rsid w:val="005E0164"/>
    <w:rsid w:val="005E375F"/>
    <w:rsid w:val="005E37BA"/>
    <w:rsid w:val="005E6A82"/>
    <w:rsid w:val="005E753F"/>
    <w:rsid w:val="005F07D4"/>
    <w:rsid w:val="005F2945"/>
    <w:rsid w:val="005F6F9A"/>
    <w:rsid w:val="005F718B"/>
    <w:rsid w:val="006003D5"/>
    <w:rsid w:val="0060050C"/>
    <w:rsid w:val="00600812"/>
    <w:rsid w:val="006026CC"/>
    <w:rsid w:val="00602833"/>
    <w:rsid w:val="00602B8D"/>
    <w:rsid w:val="00604B59"/>
    <w:rsid w:val="00604C27"/>
    <w:rsid w:val="006066DC"/>
    <w:rsid w:val="006076AF"/>
    <w:rsid w:val="006132BC"/>
    <w:rsid w:val="00617986"/>
    <w:rsid w:val="00622045"/>
    <w:rsid w:val="00623A78"/>
    <w:rsid w:val="00623B77"/>
    <w:rsid w:val="00623C3D"/>
    <w:rsid w:val="006269B0"/>
    <w:rsid w:val="00630289"/>
    <w:rsid w:val="00631954"/>
    <w:rsid w:val="006343F8"/>
    <w:rsid w:val="0063443F"/>
    <w:rsid w:val="006402B5"/>
    <w:rsid w:val="00640C9B"/>
    <w:rsid w:val="006467EC"/>
    <w:rsid w:val="00647EB2"/>
    <w:rsid w:val="00654BD1"/>
    <w:rsid w:val="0065637C"/>
    <w:rsid w:val="006615EB"/>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22A8"/>
    <w:rsid w:val="006D2BC9"/>
    <w:rsid w:val="006E0DAC"/>
    <w:rsid w:val="006E1CE0"/>
    <w:rsid w:val="006E35E4"/>
    <w:rsid w:val="006F06AE"/>
    <w:rsid w:val="007025C4"/>
    <w:rsid w:val="0070375C"/>
    <w:rsid w:val="0070449D"/>
    <w:rsid w:val="0070734B"/>
    <w:rsid w:val="007073E2"/>
    <w:rsid w:val="0070789B"/>
    <w:rsid w:val="0071011D"/>
    <w:rsid w:val="007119BB"/>
    <w:rsid w:val="00717D67"/>
    <w:rsid w:val="0072146F"/>
    <w:rsid w:val="00722397"/>
    <w:rsid w:val="00723BFF"/>
    <w:rsid w:val="0072589D"/>
    <w:rsid w:val="00725FFE"/>
    <w:rsid w:val="00732E66"/>
    <w:rsid w:val="00733BE3"/>
    <w:rsid w:val="00734D61"/>
    <w:rsid w:val="00735BAC"/>
    <w:rsid w:val="00740F46"/>
    <w:rsid w:val="007415B0"/>
    <w:rsid w:val="00743B2B"/>
    <w:rsid w:val="00745FE3"/>
    <w:rsid w:val="00747530"/>
    <w:rsid w:val="00747C75"/>
    <w:rsid w:val="0075123B"/>
    <w:rsid w:val="00754BC6"/>
    <w:rsid w:val="007558F3"/>
    <w:rsid w:val="00765B78"/>
    <w:rsid w:val="00767AF1"/>
    <w:rsid w:val="00771AD8"/>
    <w:rsid w:val="00773EE3"/>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E3BA6"/>
    <w:rsid w:val="007E4631"/>
    <w:rsid w:val="007F00F0"/>
    <w:rsid w:val="007F080C"/>
    <w:rsid w:val="007F3D2A"/>
    <w:rsid w:val="007F407F"/>
    <w:rsid w:val="00800C7E"/>
    <w:rsid w:val="00801697"/>
    <w:rsid w:val="0080262D"/>
    <w:rsid w:val="00805783"/>
    <w:rsid w:val="00806579"/>
    <w:rsid w:val="008116C3"/>
    <w:rsid w:val="00811EF4"/>
    <w:rsid w:val="00815345"/>
    <w:rsid w:val="0081638C"/>
    <w:rsid w:val="00816D8C"/>
    <w:rsid w:val="008204CA"/>
    <w:rsid w:val="00820FE3"/>
    <w:rsid w:val="0082108A"/>
    <w:rsid w:val="0082470E"/>
    <w:rsid w:val="00830D29"/>
    <w:rsid w:val="008310D2"/>
    <w:rsid w:val="00833C8C"/>
    <w:rsid w:val="00836D58"/>
    <w:rsid w:val="0084049A"/>
    <w:rsid w:val="00843D6F"/>
    <w:rsid w:val="0084520A"/>
    <w:rsid w:val="00855A84"/>
    <w:rsid w:val="008631A1"/>
    <w:rsid w:val="00863B3E"/>
    <w:rsid w:val="0086759E"/>
    <w:rsid w:val="008724EC"/>
    <w:rsid w:val="00874E16"/>
    <w:rsid w:val="00876314"/>
    <w:rsid w:val="00883D9C"/>
    <w:rsid w:val="0088611C"/>
    <w:rsid w:val="00886C40"/>
    <w:rsid w:val="008876D1"/>
    <w:rsid w:val="00893C65"/>
    <w:rsid w:val="008979C1"/>
    <w:rsid w:val="008A0241"/>
    <w:rsid w:val="008A214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E00FF"/>
    <w:rsid w:val="008E04BC"/>
    <w:rsid w:val="008E4DB0"/>
    <w:rsid w:val="008E6D10"/>
    <w:rsid w:val="008E6EFC"/>
    <w:rsid w:val="008F2653"/>
    <w:rsid w:val="008F2E77"/>
    <w:rsid w:val="008F44C8"/>
    <w:rsid w:val="008F690F"/>
    <w:rsid w:val="008F79AB"/>
    <w:rsid w:val="00907680"/>
    <w:rsid w:val="00910B74"/>
    <w:rsid w:val="00915BA3"/>
    <w:rsid w:val="00916DA1"/>
    <w:rsid w:val="00920780"/>
    <w:rsid w:val="00925C89"/>
    <w:rsid w:val="00926A15"/>
    <w:rsid w:val="00932E3C"/>
    <w:rsid w:val="0093386A"/>
    <w:rsid w:val="009378C3"/>
    <w:rsid w:val="00941B16"/>
    <w:rsid w:val="00943107"/>
    <w:rsid w:val="009440D5"/>
    <w:rsid w:val="0094598B"/>
    <w:rsid w:val="00946C73"/>
    <w:rsid w:val="00946E99"/>
    <w:rsid w:val="00946EE9"/>
    <w:rsid w:val="009511AC"/>
    <w:rsid w:val="0095456D"/>
    <w:rsid w:val="00955A20"/>
    <w:rsid w:val="00955B00"/>
    <w:rsid w:val="00955E05"/>
    <w:rsid w:val="00957A9D"/>
    <w:rsid w:val="009610FE"/>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6B16"/>
    <w:rsid w:val="009C0820"/>
    <w:rsid w:val="009C1527"/>
    <w:rsid w:val="009C4233"/>
    <w:rsid w:val="009D1E2F"/>
    <w:rsid w:val="009D290B"/>
    <w:rsid w:val="009D5C22"/>
    <w:rsid w:val="009D5D65"/>
    <w:rsid w:val="009D60F7"/>
    <w:rsid w:val="009D7704"/>
    <w:rsid w:val="009E4A05"/>
    <w:rsid w:val="009E61C2"/>
    <w:rsid w:val="009E76F4"/>
    <w:rsid w:val="009F3B88"/>
    <w:rsid w:val="00A0575C"/>
    <w:rsid w:val="00A05C12"/>
    <w:rsid w:val="00A12911"/>
    <w:rsid w:val="00A14C00"/>
    <w:rsid w:val="00A1649B"/>
    <w:rsid w:val="00A16C44"/>
    <w:rsid w:val="00A16F99"/>
    <w:rsid w:val="00A17813"/>
    <w:rsid w:val="00A178FF"/>
    <w:rsid w:val="00A20B56"/>
    <w:rsid w:val="00A23C4C"/>
    <w:rsid w:val="00A247E4"/>
    <w:rsid w:val="00A24A21"/>
    <w:rsid w:val="00A26D6C"/>
    <w:rsid w:val="00A33817"/>
    <w:rsid w:val="00A351B9"/>
    <w:rsid w:val="00A37AC7"/>
    <w:rsid w:val="00A4163F"/>
    <w:rsid w:val="00A41B96"/>
    <w:rsid w:val="00A4383B"/>
    <w:rsid w:val="00A43A56"/>
    <w:rsid w:val="00A43DBF"/>
    <w:rsid w:val="00A508EB"/>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2709"/>
    <w:rsid w:val="00A97201"/>
    <w:rsid w:val="00AA295F"/>
    <w:rsid w:val="00AA2CEC"/>
    <w:rsid w:val="00AA382D"/>
    <w:rsid w:val="00AA45F3"/>
    <w:rsid w:val="00AA49B9"/>
    <w:rsid w:val="00AA4FAA"/>
    <w:rsid w:val="00AB5D26"/>
    <w:rsid w:val="00AB603F"/>
    <w:rsid w:val="00AB6860"/>
    <w:rsid w:val="00AB7C50"/>
    <w:rsid w:val="00AB7D7F"/>
    <w:rsid w:val="00AC100F"/>
    <w:rsid w:val="00AC483F"/>
    <w:rsid w:val="00AC5533"/>
    <w:rsid w:val="00AC5913"/>
    <w:rsid w:val="00AC67D5"/>
    <w:rsid w:val="00AC6D15"/>
    <w:rsid w:val="00AD04DF"/>
    <w:rsid w:val="00AD13D2"/>
    <w:rsid w:val="00AD69B1"/>
    <w:rsid w:val="00AD7A06"/>
    <w:rsid w:val="00AD7BBC"/>
    <w:rsid w:val="00AE051F"/>
    <w:rsid w:val="00AE0FC4"/>
    <w:rsid w:val="00AE5309"/>
    <w:rsid w:val="00AE5453"/>
    <w:rsid w:val="00AE5A2B"/>
    <w:rsid w:val="00AE65F9"/>
    <w:rsid w:val="00AF0C25"/>
    <w:rsid w:val="00B00224"/>
    <w:rsid w:val="00B01429"/>
    <w:rsid w:val="00B0251C"/>
    <w:rsid w:val="00B03BDB"/>
    <w:rsid w:val="00B04537"/>
    <w:rsid w:val="00B05C6A"/>
    <w:rsid w:val="00B06458"/>
    <w:rsid w:val="00B070D3"/>
    <w:rsid w:val="00B0789E"/>
    <w:rsid w:val="00B13E70"/>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3134"/>
    <w:rsid w:val="00BC6B14"/>
    <w:rsid w:val="00BD1A2D"/>
    <w:rsid w:val="00BD1C67"/>
    <w:rsid w:val="00BD2BDD"/>
    <w:rsid w:val="00BD2F01"/>
    <w:rsid w:val="00BD3EFA"/>
    <w:rsid w:val="00BD4009"/>
    <w:rsid w:val="00BD4230"/>
    <w:rsid w:val="00BE2302"/>
    <w:rsid w:val="00BE2D52"/>
    <w:rsid w:val="00BE5500"/>
    <w:rsid w:val="00BE7D76"/>
    <w:rsid w:val="00BF0EFE"/>
    <w:rsid w:val="00BF36AB"/>
    <w:rsid w:val="00BF63BA"/>
    <w:rsid w:val="00C00FA8"/>
    <w:rsid w:val="00C05FA6"/>
    <w:rsid w:val="00C114BA"/>
    <w:rsid w:val="00C1527E"/>
    <w:rsid w:val="00C2214C"/>
    <w:rsid w:val="00C23EEF"/>
    <w:rsid w:val="00C3020A"/>
    <w:rsid w:val="00C36699"/>
    <w:rsid w:val="00C41FA6"/>
    <w:rsid w:val="00C44284"/>
    <w:rsid w:val="00C44602"/>
    <w:rsid w:val="00C44DEB"/>
    <w:rsid w:val="00C4686B"/>
    <w:rsid w:val="00C53B33"/>
    <w:rsid w:val="00C576AA"/>
    <w:rsid w:val="00C57EDB"/>
    <w:rsid w:val="00C63E47"/>
    <w:rsid w:val="00C64C02"/>
    <w:rsid w:val="00C6597F"/>
    <w:rsid w:val="00C67099"/>
    <w:rsid w:val="00C67195"/>
    <w:rsid w:val="00C708C9"/>
    <w:rsid w:val="00C72F20"/>
    <w:rsid w:val="00C73E8C"/>
    <w:rsid w:val="00C745C7"/>
    <w:rsid w:val="00C74A9B"/>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7A3A"/>
    <w:rsid w:val="00CD037C"/>
    <w:rsid w:val="00CD2730"/>
    <w:rsid w:val="00CD3434"/>
    <w:rsid w:val="00CD374F"/>
    <w:rsid w:val="00CD52A7"/>
    <w:rsid w:val="00CE1FCD"/>
    <w:rsid w:val="00CE21D9"/>
    <w:rsid w:val="00CE39F8"/>
    <w:rsid w:val="00CE4640"/>
    <w:rsid w:val="00CE57E9"/>
    <w:rsid w:val="00CF0B1B"/>
    <w:rsid w:val="00CF294D"/>
    <w:rsid w:val="00CF2F8D"/>
    <w:rsid w:val="00CF4321"/>
    <w:rsid w:val="00CF4C59"/>
    <w:rsid w:val="00CF674E"/>
    <w:rsid w:val="00CF6FD3"/>
    <w:rsid w:val="00CF70C9"/>
    <w:rsid w:val="00D01247"/>
    <w:rsid w:val="00D03541"/>
    <w:rsid w:val="00D05FA6"/>
    <w:rsid w:val="00D07626"/>
    <w:rsid w:val="00D16799"/>
    <w:rsid w:val="00D16997"/>
    <w:rsid w:val="00D173BA"/>
    <w:rsid w:val="00D21969"/>
    <w:rsid w:val="00D2280D"/>
    <w:rsid w:val="00D24C9E"/>
    <w:rsid w:val="00D27E61"/>
    <w:rsid w:val="00D30D0B"/>
    <w:rsid w:val="00D31D92"/>
    <w:rsid w:val="00D35569"/>
    <w:rsid w:val="00D41E75"/>
    <w:rsid w:val="00D43DE2"/>
    <w:rsid w:val="00D56E5D"/>
    <w:rsid w:val="00D64CF8"/>
    <w:rsid w:val="00D664A4"/>
    <w:rsid w:val="00D66E69"/>
    <w:rsid w:val="00D70FF5"/>
    <w:rsid w:val="00D71A49"/>
    <w:rsid w:val="00D7508E"/>
    <w:rsid w:val="00D75944"/>
    <w:rsid w:val="00D812B1"/>
    <w:rsid w:val="00D86C54"/>
    <w:rsid w:val="00D870E2"/>
    <w:rsid w:val="00D9013E"/>
    <w:rsid w:val="00D94678"/>
    <w:rsid w:val="00D96C65"/>
    <w:rsid w:val="00D97CD5"/>
    <w:rsid w:val="00DA5383"/>
    <w:rsid w:val="00DA6F59"/>
    <w:rsid w:val="00DA7135"/>
    <w:rsid w:val="00DB30B7"/>
    <w:rsid w:val="00DB6307"/>
    <w:rsid w:val="00DC5E91"/>
    <w:rsid w:val="00DD4F92"/>
    <w:rsid w:val="00DD61B5"/>
    <w:rsid w:val="00DD6E66"/>
    <w:rsid w:val="00DE029C"/>
    <w:rsid w:val="00DF0150"/>
    <w:rsid w:val="00DF0ED3"/>
    <w:rsid w:val="00DF24E3"/>
    <w:rsid w:val="00DF39F1"/>
    <w:rsid w:val="00DF5EDF"/>
    <w:rsid w:val="00DF69FC"/>
    <w:rsid w:val="00DF6F0D"/>
    <w:rsid w:val="00E00B62"/>
    <w:rsid w:val="00E0101A"/>
    <w:rsid w:val="00E01860"/>
    <w:rsid w:val="00E057D0"/>
    <w:rsid w:val="00E11FBD"/>
    <w:rsid w:val="00E1361B"/>
    <w:rsid w:val="00E14654"/>
    <w:rsid w:val="00E146B9"/>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C28"/>
    <w:rsid w:val="00E51DB1"/>
    <w:rsid w:val="00E52E96"/>
    <w:rsid w:val="00E536A7"/>
    <w:rsid w:val="00E538EE"/>
    <w:rsid w:val="00E54657"/>
    <w:rsid w:val="00E55B1C"/>
    <w:rsid w:val="00E55D1F"/>
    <w:rsid w:val="00E578F2"/>
    <w:rsid w:val="00E6169D"/>
    <w:rsid w:val="00E62374"/>
    <w:rsid w:val="00E67308"/>
    <w:rsid w:val="00E6767B"/>
    <w:rsid w:val="00E7061D"/>
    <w:rsid w:val="00E7260A"/>
    <w:rsid w:val="00E74E49"/>
    <w:rsid w:val="00E76B92"/>
    <w:rsid w:val="00E81D4A"/>
    <w:rsid w:val="00E820B3"/>
    <w:rsid w:val="00E84662"/>
    <w:rsid w:val="00E8478D"/>
    <w:rsid w:val="00E85988"/>
    <w:rsid w:val="00E8661D"/>
    <w:rsid w:val="00E9170E"/>
    <w:rsid w:val="00E92379"/>
    <w:rsid w:val="00E95B5A"/>
    <w:rsid w:val="00E96DF2"/>
    <w:rsid w:val="00EA20FF"/>
    <w:rsid w:val="00EA2AFD"/>
    <w:rsid w:val="00EA3B38"/>
    <w:rsid w:val="00EA3DCA"/>
    <w:rsid w:val="00EA4BF0"/>
    <w:rsid w:val="00EA56E2"/>
    <w:rsid w:val="00EB01B8"/>
    <w:rsid w:val="00EB1D93"/>
    <w:rsid w:val="00EB27AB"/>
    <w:rsid w:val="00EB3B26"/>
    <w:rsid w:val="00EB526B"/>
    <w:rsid w:val="00EB6B71"/>
    <w:rsid w:val="00EC007B"/>
    <w:rsid w:val="00EC51B2"/>
    <w:rsid w:val="00EC72C2"/>
    <w:rsid w:val="00EC7F08"/>
    <w:rsid w:val="00ED00F1"/>
    <w:rsid w:val="00ED17C1"/>
    <w:rsid w:val="00ED1F26"/>
    <w:rsid w:val="00ED2287"/>
    <w:rsid w:val="00ED6EF0"/>
    <w:rsid w:val="00ED758E"/>
    <w:rsid w:val="00EE1955"/>
    <w:rsid w:val="00EE3776"/>
    <w:rsid w:val="00EE5F1C"/>
    <w:rsid w:val="00EE6026"/>
    <w:rsid w:val="00EE6259"/>
    <w:rsid w:val="00EE68AC"/>
    <w:rsid w:val="00EE7B0B"/>
    <w:rsid w:val="00EF063E"/>
    <w:rsid w:val="00EF5EE3"/>
    <w:rsid w:val="00EF7D52"/>
    <w:rsid w:val="00F01868"/>
    <w:rsid w:val="00F0224A"/>
    <w:rsid w:val="00F03A77"/>
    <w:rsid w:val="00F10725"/>
    <w:rsid w:val="00F115DB"/>
    <w:rsid w:val="00F12BC6"/>
    <w:rsid w:val="00F172B0"/>
    <w:rsid w:val="00F17862"/>
    <w:rsid w:val="00F17B15"/>
    <w:rsid w:val="00F22BD2"/>
    <w:rsid w:val="00F22C73"/>
    <w:rsid w:val="00F2330C"/>
    <w:rsid w:val="00F305C6"/>
    <w:rsid w:val="00F329E1"/>
    <w:rsid w:val="00F32A57"/>
    <w:rsid w:val="00F35AF2"/>
    <w:rsid w:val="00F37569"/>
    <w:rsid w:val="00F4028B"/>
    <w:rsid w:val="00F41C6C"/>
    <w:rsid w:val="00F4273A"/>
    <w:rsid w:val="00F455A0"/>
    <w:rsid w:val="00F46978"/>
    <w:rsid w:val="00F46DF3"/>
    <w:rsid w:val="00F500DD"/>
    <w:rsid w:val="00F51DF8"/>
    <w:rsid w:val="00F53310"/>
    <w:rsid w:val="00F53A0F"/>
    <w:rsid w:val="00F5789F"/>
    <w:rsid w:val="00F62B1D"/>
    <w:rsid w:val="00F63CF1"/>
    <w:rsid w:val="00F63EED"/>
    <w:rsid w:val="00F6408C"/>
    <w:rsid w:val="00F7170C"/>
    <w:rsid w:val="00F763A4"/>
    <w:rsid w:val="00F76B4B"/>
    <w:rsid w:val="00F771B3"/>
    <w:rsid w:val="00F77E7E"/>
    <w:rsid w:val="00F80EBA"/>
    <w:rsid w:val="00F839C7"/>
    <w:rsid w:val="00F91733"/>
    <w:rsid w:val="00F922CE"/>
    <w:rsid w:val="00F925A0"/>
    <w:rsid w:val="00F93CF7"/>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5EC4"/>
    <w:rsid w:val="00FE1A69"/>
    <w:rsid w:val="00FE2D91"/>
    <w:rsid w:val="00FE2EEB"/>
    <w:rsid w:val="00FE64A8"/>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357"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D1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3816"/>
    <w:pPr>
      <w:ind w:left="720"/>
      <w:contextualSpacing/>
    </w:pPr>
  </w:style>
  <w:style w:type="table" w:styleId="Tablaconcuadrcula">
    <w:name w:val="Table Grid"/>
    <w:basedOn w:val="Tablanormal"/>
    <w:uiPriority w:val="59"/>
    <w:rsid w:val="002F11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2F1174"/>
    <w:rPr>
      <w:rFonts w:ascii="Tahoma" w:hAnsi="Tahoma" w:cs="Tahoma"/>
      <w:sz w:val="16"/>
      <w:szCs w:val="16"/>
    </w:rPr>
  </w:style>
  <w:style w:type="character" w:customStyle="1" w:styleId="TextodegloboCar">
    <w:name w:val="Texto de globo Car"/>
    <w:basedOn w:val="Fuentedeprrafopredeter"/>
    <w:link w:val="Textodeglobo"/>
    <w:uiPriority w:val="99"/>
    <w:semiHidden/>
    <w:rsid w:val="002F1174"/>
    <w:rPr>
      <w:rFonts w:ascii="Tahoma" w:hAnsi="Tahoma" w:cs="Tahoma"/>
      <w:sz w:val="16"/>
      <w:szCs w:val="16"/>
    </w:rPr>
  </w:style>
  <w:style w:type="character" w:styleId="Hipervnculo">
    <w:name w:val="Hyperlink"/>
    <w:basedOn w:val="Fuentedeprrafopredeter"/>
    <w:uiPriority w:val="99"/>
    <w:unhideWhenUsed/>
    <w:rsid w:val="00E67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groblog.com.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AR"/>
  <c:chart>
    <c:title>
      <c:tx>
        <c:rich>
          <a:bodyPr/>
          <a:lstStyle/>
          <a:p>
            <a:pPr>
              <a:defRPr/>
            </a:pPr>
            <a:r>
              <a:rPr lang="es-ES"/>
              <a:t>Exportaciones</a:t>
            </a:r>
            <a:r>
              <a:rPr lang="es-ES" baseline="0"/>
              <a:t> de lácteos en Enero</a:t>
            </a:r>
            <a:endParaRPr lang="es-ES"/>
          </a:p>
        </c:rich>
      </c:tx>
    </c:title>
    <c:plotArea>
      <c:layout/>
      <c:lineChart>
        <c:grouping val="standard"/>
        <c:ser>
          <c:idx val="0"/>
          <c:order val="0"/>
          <c:tx>
            <c:strRef>
              <c:f>Hoja1!$B$1</c:f>
              <c:strCache>
                <c:ptCount val="1"/>
                <c:pt idx="0">
                  <c:v>Leches</c:v>
                </c:pt>
              </c:strCache>
            </c:strRef>
          </c:tx>
          <c:marker>
            <c:symbol val="none"/>
          </c:marker>
          <c:cat>
            <c:numRef>
              <c:f>Hoja1!$A$2:$A$4</c:f>
              <c:numCache>
                <c:formatCode>General</c:formatCode>
                <c:ptCount val="3"/>
                <c:pt idx="0">
                  <c:v>2012</c:v>
                </c:pt>
                <c:pt idx="1">
                  <c:v>2013</c:v>
                </c:pt>
                <c:pt idx="2">
                  <c:v>2014</c:v>
                </c:pt>
              </c:numCache>
            </c:numRef>
          </c:cat>
          <c:val>
            <c:numRef>
              <c:f>Hoja1!$B$2:$B$4</c:f>
              <c:numCache>
                <c:formatCode>#,##0</c:formatCode>
                <c:ptCount val="3"/>
                <c:pt idx="0">
                  <c:v>26411</c:v>
                </c:pt>
                <c:pt idx="1">
                  <c:v>20656</c:v>
                </c:pt>
                <c:pt idx="2">
                  <c:v>18236</c:v>
                </c:pt>
              </c:numCache>
            </c:numRef>
          </c:val>
        </c:ser>
        <c:ser>
          <c:idx val="1"/>
          <c:order val="1"/>
          <c:tx>
            <c:strRef>
              <c:f>Hoja1!$C$1</c:f>
              <c:strCache>
                <c:ptCount val="1"/>
                <c:pt idx="0">
                  <c:v>Quesos</c:v>
                </c:pt>
              </c:strCache>
            </c:strRef>
          </c:tx>
          <c:marker>
            <c:symbol val="none"/>
          </c:marker>
          <c:cat>
            <c:numRef>
              <c:f>Hoja1!$A$2:$A$4</c:f>
              <c:numCache>
                <c:formatCode>General</c:formatCode>
                <c:ptCount val="3"/>
                <c:pt idx="0">
                  <c:v>2012</c:v>
                </c:pt>
                <c:pt idx="1">
                  <c:v>2013</c:v>
                </c:pt>
                <c:pt idx="2">
                  <c:v>2014</c:v>
                </c:pt>
              </c:numCache>
            </c:numRef>
          </c:cat>
          <c:val>
            <c:numRef>
              <c:f>Hoja1!$C$2:$C$4</c:f>
              <c:numCache>
                <c:formatCode>#,##0</c:formatCode>
                <c:ptCount val="3"/>
                <c:pt idx="0">
                  <c:v>6181</c:v>
                </c:pt>
                <c:pt idx="1">
                  <c:v>6575</c:v>
                </c:pt>
                <c:pt idx="2">
                  <c:v>3498</c:v>
                </c:pt>
              </c:numCache>
            </c:numRef>
          </c:val>
        </c:ser>
        <c:ser>
          <c:idx val="2"/>
          <c:order val="2"/>
          <c:tx>
            <c:strRef>
              <c:f>Hoja1!$D$1</c:f>
              <c:strCache>
                <c:ptCount val="1"/>
                <c:pt idx="0">
                  <c:v>Otros lácteos</c:v>
                </c:pt>
              </c:strCache>
            </c:strRef>
          </c:tx>
          <c:marker>
            <c:symbol val="none"/>
          </c:marker>
          <c:cat>
            <c:numRef>
              <c:f>Hoja1!$A$2:$A$4</c:f>
              <c:numCache>
                <c:formatCode>General</c:formatCode>
                <c:ptCount val="3"/>
                <c:pt idx="0">
                  <c:v>2012</c:v>
                </c:pt>
                <c:pt idx="1">
                  <c:v>2013</c:v>
                </c:pt>
                <c:pt idx="2">
                  <c:v>2014</c:v>
                </c:pt>
              </c:numCache>
            </c:numRef>
          </c:cat>
          <c:val>
            <c:numRef>
              <c:f>Hoja1!$D$2:$D$4</c:f>
              <c:numCache>
                <c:formatCode>#,##0</c:formatCode>
                <c:ptCount val="3"/>
                <c:pt idx="0">
                  <c:v>11747</c:v>
                </c:pt>
                <c:pt idx="1">
                  <c:v>11569</c:v>
                </c:pt>
                <c:pt idx="2">
                  <c:v>7014</c:v>
                </c:pt>
              </c:numCache>
            </c:numRef>
          </c:val>
        </c:ser>
        <c:marker val="1"/>
        <c:axId val="75605888"/>
        <c:axId val="75607424"/>
      </c:lineChart>
      <c:catAx>
        <c:axId val="75605888"/>
        <c:scaling>
          <c:orientation val="minMax"/>
        </c:scaling>
        <c:axPos val="b"/>
        <c:numFmt formatCode="General" sourceLinked="1"/>
        <c:majorTickMark val="none"/>
        <c:tickLblPos val="nextTo"/>
        <c:crossAx val="75607424"/>
        <c:crosses val="autoZero"/>
        <c:auto val="1"/>
        <c:lblAlgn val="ctr"/>
        <c:lblOffset val="100"/>
      </c:catAx>
      <c:valAx>
        <c:axId val="75607424"/>
        <c:scaling>
          <c:orientation val="minMax"/>
        </c:scaling>
        <c:axPos val="l"/>
        <c:majorGridlines/>
        <c:title>
          <c:tx>
            <c:rich>
              <a:bodyPr/>
              <a:lstStyle/>
              <a:p>
                <a:pPr>
                  <a:defRPr/>
                </a:pPr>
                <a:r>
                  <a:rPr lang="es-ES"/>
                  <a:t>Toneladas</a:t>
                </a:r>
              </a:p>
            </c:rich>
          </c:tx>
        </c:title>
        <c:numFmt formatCode="#,##0" sourceLinked="1"/>
        <c:majorTickMark val="none"/>
        <c:tickLblPos val="nextTo"/>
        <c:crossAx val="75605888"/>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AR"/>
  <c:chart>
    <c:autoTitleDeleted val="1"/>
    <c:plotArea>
      <c:layout/>
      <c:barChart>
        <c:barDir val="col"/>
        <c:grouping val="clustered"/>
        <c:ser>
          <c:idx val="0"/>
          <c:order val="0"/>
          <c:tx>
            <c:strRef>
              <c:f>Hoja1!$B$1</c:f>
              <c:strCache>
                <c:ptCount val="1"/>
                <c:pt idx="0">
                  <c:v>ROEL aprobados</c:v>
                </c:pt>
              </c:strCache>
            </c:strRef>
          </c:tx>
          <c:cat>
            <c:strRef>
              <c:f>Hoja1!$A$2:$A$5</c:f>
              <c:strCache>
                <c:ptCount val="4"/>
                <c:pt idx="0">
                  <c:v>dic-13</c:v>
                </c:pt>
                <c:pt idx="1">
                  <c:v>ene-14</c:v>
                </c:pt>
                <c:pt idx="2">
                  <c:v>feb-14</c:v>
                </c:pt>
                <c:pt idx="3">
                  <c:v>Primeros 10 días de marzo</c:v>
                </c:pt>
              </c:strCache>
            </c:strRef>
          </c:cat>
          <c:val>
            <c:numRef>
              <c:f>Hoja1!$B$2:$B$5</c:f>
              <c:numCache>
                <c:formatCode>General</c:formatCode>
                <c:ptCount val="4"/>
                <c:pt idx="0">
                  <c:v>736</c:v>
                </c:pt>
                <c:pt idx="1">
                  <c:v>723</c:v>
                </c:pt>
                <c:pt idx="2">
                  <c:v>589</c:v>
                </c:pt>
                <c:pt idx="3">
                  <c:v>59</c:v>
                </c:pt>
              </c:numCache>
            </c:numRef>
          </c:val>
        </c:ser>
        <c:axId val="93418624"/>
        <c:axId val="93420544"/>
      </c:barChart>
      <c:catAx>
        <c:axId val="93418624"/>
        <c:scaling>
          <c:orientation val="minMax"/>
        </c:scaling>
        <c:axPos val="b"/>
        <c:numFmt formatCode="mmm\-yy" sourceLinked="1"/>
        <c:majorTickMark val="none"/>
        <c:tickLblPos val="nextTo"/>
        <c:crossAx val="93420544"/>
        <c:crosses val="autoZero"/>
        <c:auto val="1"/>
        <c:lblAlgn val="ctr"/>
        <c:lblOffset val="100"/>
      </c:catAx>
      <c:valAx>
        <c:axId val="93420544"/>
        <c:scaling>
          <c:orientation val="minMax"/>
        </c:scaling>
        <c:axPos val="l"/>
        <c:majorGridlines/>
        <c:numFmt formatCode="General" sourceLinked="1"/>
        <c:majorTickMark val="none"/>
        <c:tickLblPos val="nextTo"/>
        <c:crossAx val="93418624"/>
        <c:crosses val="autoZero"/>
        <c:crossBetween val="between"/>
      </c:valAx>
      <c:dTable>
        <c:showHorzBorder val="1"/>
        <c:showVertBorder val="1"/>
        <c:showOutline val="1"/>
        <c:showKeys val="1"/>
      </c:dTable>
    </c:plotArea>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444</Words>
  <Characters>2445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Rou</cp:lastModifiedBy>
  <cp:revision>6</cp:revision>
  <dcterms:created xsi:type="dcterms:W3CDTF">2014-03-13T11:28:00Z</dcterms:created>
  <dcterms:modified xsi:type="dcterms:W3CDTF">2014-03-13T17:56:00Z</dcterms:modified>
</cp:coreProperties>
</file>